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68" w:rsidRDefault="00E06A68" w:rsidP="008711A4">
      <w:pPr>
        <w:jc w:val="both"/>
        <w:rPr>
          <w:rFonts w:ascii="Bookman Old Style" w:hAnsi="Bookman Old Style" w:cs="Arial"/>
          <w:b/>
          <w:sz w:val="24"/>
          <w:szCs w:val="24"/>
        </w:rPr>
      </w:pPr>
      <w:r>
        <w:rPr>
          <w:rFonts w:ascii="Bookman Old Style" w:hAnsi="Bookman Old Style" w:cs="Arial"/>
          <w:b/>
          <w:sz w:val="24"/>
          <w:szCs w:val="24"/>
        </w:rPr>
        <w:t xml:space="preserve">                                                                                                                                                       Annexure-A</w:t>
      </w:r>
    </w:p>
    <w:p w:rsidR="0023647A" w:rsidRPr="00E60BE4" w:rsidRDefault="007F2709" w:rsidP="008711A4">
      <w:pPr>
        <w:jc w:val="both"/>
        <w:rPr>
          <w:rFonts w:ascii="Bookman Old Style" w:hAnsi="Bookman Old Style" w:cs="Arial"/>
          <w:b/>
          <w:sz w:val="24"/>
          <w:szCs w:val="24"/>
        </w:rPr>
      </w:pPr>
      <w:r>
        <w:rPr>
          <w:rFonts w:ascii="Bookman Old Style" w:hAnsi="Bookman Old Style" w:cs="Arial"/>
          <w:b/>
          <w:sz w:val="24"/>
          <w:szCs w:val="24"/>
        </w:rPr>
        <w:t xml:space="preserve">Comparison - </w:t>
      </w:r>
      <w:r w:rsidR="0023647A" w:rsidRPr="00E60BE4">
        <w:rPr>
          <w:rFonts w:ascii="Bookman Old Style" w:hAnsi="Bookman Old Style" w:cs="Arial"/>
          <w:b/>
          <w:sz w:val="24"/>
          <w:szCs w:val="24"/>
        </w:rPr>
        <w:t>Existing Provisions of IRDAI (</w:t>
      </w:r>
      <w:r w:rsidR="008711A4" w:rsidRPr="00E60BE4">
        <w:rPr>
          <w:rFonts w:ascii="Bookman Old Style" w:hAnsi="Bookman Old Style" w:cs="Arial"/>
          <w:b/>
          <w:sz w:val="24"/>
          <w:szCs w:val="24"/>
        </w:rPr>
        <w:t>Health Insurance</w:t>
      </w:r>
      <w:r w:rsidR="0023647A" w:rsidRPr="00E60BE4">
        <w:rPr>
          <w:rFonts w:ascii="Bookman Old Style" w:hAnsi="Bookman Old Style" w:cs="Arial"/>
          <w:b/>
          <w:sz w:val="24"/>
          <w:szCs w:val="24"/>
        </w:rPr>
        <w:t xml:space="preserve">) Regulations, 2016 vis-à-vis the proposed modifications along with the </w:t>
      </w:r>
      <w:r w:rsidR="00A934D4">
        <w:rPr>
          <w:rFonts w:ascii="Bookman Old Style" w:hAnsi="Bookman Old Style" w:cs="Arial"/>
          <w:b/>
          <w:sz w:val="24"/>
          <w:szCs w:val="24"/>
        </w:rPr>
        <w:t>rationale for the modifications</w:t>
      </w:r>
    </w:p>
    <w:tbl>
      <w:tblPr>
        <w:tblStyle w:val="TableGrid"/>
        <w:tblW w:w="5233" w:type="pct"/>
        <w:tblInd w:w="-245" w:type="dxa"/>
        <w:tblCellMar>
          <w:left w:w="115" w:type="dxa"/>
          <w:right w:w="115" w:type="dxa"/>
        </w:tblCellMar>
        <w:tblLook w:val="04A0" w:firstRow="1" w:lastRow="0" w:firstColumn="1" w:lastColumn="0" w:noHBand="0" w:noVBand="1"/>
      </w:tblPr>
      <w:tblGrid>
        <w:gridCol w:w="638"/>
        <w:gridCol w:w="1320"/>
        <w:gridCol w:w="1676"/>
        <w:gridCol w:w="4949"/>
        <w:gridCol w:w="2482"/>
        <w:gridCol w:w="3533"/>
      </w:tblGrid>
      <w:tr w:rsidR="0080750F" w:rsidRPr="00E60BE4" w:rsidTr="009C0354">
        <w:tc>
          <w:tcPr>
            <w:tcW w:w="219" w:type="pct"/>
            <w:vAlign w:val="center"/>
          </w:tcPr>
          <w:p w:rsidR="0023647A" w:rsidRPr="00E60BE4" w:rsidRDefault="0023647A" w:rsidP="00F27E57">
            <w:pPr>
              <w:autoSpaceDE w:val="0"/>
              <w:autoSpaceDN w:val="0"/>
              <w:adjustRightInd w:val="0"/>
              <w:jc w:val="center"/>
              <w:rPr>
                <w:rFonts w:ascii="Bookman Old Style" w:hAnsi="Bookman Old Style" w:cs="Arial"/>
                <w:b/>
                <w:bCs/>
                <w:sz w:val="24"/>
                <w:szCs w:val="24"/>
              </w:rPr>
            </w:pPr>
            <w:bookmarkStart w:id="0" w:name="_GoBack"/>
            <w:bookmarkEnd w:id="0"/>
            <w:r w:rsidRPr="00E60BE4">
              <w:rPr>
                <w:rFonts w:ascii="Bookman Old Style" w:hAnsi="Bookman Old Style" w:cs="Arial"/>
                <w:b/>
                <w:bCs/>
                <w:sz w:val="24"/>
                <w:szCs w:val="24"/>
              </w:rPr>
              <w:t>Sr. No.</w:t>
            </w:r>
          </w:p>
        </w:tc>
        <w:tc>
          <w:tcPr>
            <w:tcW w:w="452" w:type="pct"/>
            <w:vAlign w:val="center"/>
          </w:tcPr>
          <w:p w:rsidR="0023647A" w:rsidRPr="00E60BE4" w:rsidRDefault="0023647A" w:rsidP="00F27E57">
            <w:pPr>
              <w:autoSpaceDE w:val="0"/>
              <w:autoSpaceDN w:val="0"/>
              <w:adjustRightInd w:val="0"/>
              <w:jc w:val="center"/>
              <w:rPr>
                <w:rFonts w:ascii="Bookman Old Style" w:hAnsi="Bookman Old Style" w:cs="Arial"/>
                <w:b/>
                <w:bCs/>
                <w:sz w:val="24"/>
                <w:szCs w:val="24"/>
              </w:rPr>
            </w:pPr>
            <w:r w:rsidRPr="00E60BE4">
              <w:rPr>
                <w:rFonts w:ascii="Bookman Old Style" w:hAnsi="Bookman Old Style" w:cs="Arial"/>
                <w:b/>
                <w:bCs/>
                <w:sz w:val="24"/>
                <w:szCs w:val="24"/>
              </w:rPr>
              <w:t xml:space="preserve">Clause No. </w:t>
            </w:r>
          </w:p>
        </w:tc>
        <w:tc>
          <w:tcPr>
            <w:tcW w:w="574" w:type="pct"/>
            <w:vAlign w:val="center"/>
          </w:tcPr>
          <w:p w:rsidR="0023647A" w:rsidRPr="00E60BE4" w:rsidRDefault="00AA3AD1" w:rsidP="00F27E57">
            <w:pPr>
              <w:autoSpaceDE w:val="0"/>
              <w:autoSpaceDN w:val="0"/>
              <w:adjustRightInd w:val="0"/>
              <w:jc w:val="center"/>
              <w:rPr>
                <w:rFonts w:ascii="Bookman Old Style" w:hAnsi="Bookman Old Style" w:cs="Arial"/>
                <w:b/>
                <w:bCs/>
                <w:sz w:val="24"/>
                <w:szCs w:val="24"/>
              </w:rPr>
            </w:pPr>
            <w:r w:rsidRPr="00E60BE4">
              <w:rPr>
                <w:rFonts w:ascii="Bookman Old Style" w:hAnsi="Bookman Old Style" w:cs="Arial"/>
                <w:b/>
                <w:bCs/>
                <w:sz w:val="24"/>
                <w:szCs w:val="24"/>
              </w:rPr>
              <w:t xml:space="preserve">Provisions </w:t>
            </w:r>
            <w:r w:rsidR="0023647A" w:rsidRPr="00E60BE4">
              <w:rPr>
                <w:rFonts w:ascii="Bookman Old Style" w:hAnsi="Bookman Old Style" w:cs="Arial"/>
                <w:b/>
                <w:bCs/>
                <w:sz w:val="24"/>
                <w:szCs w:val="24"/>
              </w:rPr>
              <w:t>to be amended</w:t>
            </w:r>
          </w:p>
        </w:tc>
        <w:tc>
          <w:tcPr>
            <w:tcW w:w="1695" w:type="pct"/>
            <w:vAlign w:val="center"/>
          </w:tcPr>
          <w:p w:rsidR="0023647A" w:rsidRPr="00E60BE4" w:rsidRDefault="0023647A" w:rsidP="00F27E57">
            <w:pPr>
              <w:autoSpaceDE w:val="0"/>
              <w:autoSpaceDN w:val="0"/>
              <w:adjustRightInd w:val="0"/>
              <w:jc w:val="center"/>
              <w:rPr>
                <w:rFonts w:ascii="Bookman Old Style" w:hAnsi="Bookman Old Style" w:cs="Arial"/>
                <w:b/>
                <w:bCs/>
                <w:sz w:val="24"/>
                <w:szCs w:val="24"/>
              </w:rPr>
            </w:pPr>
            <w:r w:rsidRPr="00E60BE4">
              <w:rPr>
                <w:rFonts w:ascii="Bookman Old Style" w:hAnsi="Bookman Old Style" w:cs="Arial"/>
                <w:b/>
                <w:bCs/>
                <w:sz w:val="24"/>
                <w:szCs w:val="24"/>
              </w:rPr>
              <w:t>Existing Provisions</w:t>
            </w:r>
          </w:p>
        </w:tc>
        <w:tc>
          <w:tcPr>
            <w:tcW w:w="850" w:type="pct"/>
            <w:vAlign w:val="center"/>
          </w:tcPr>
          <w:p w:rsidR="0023647A" w:rsidRPr="00E60BE4" w:rsidRDefault="0023647A" w:rsidP="00F27E57">
            <w:pPr>
              <w:autoSpaceDE w:val="0"/>
              <w:autoSpaceDN w:val="0"/>
              <w:adjustRightInd w:val="0"/>
              <w:jc w:val="center"/>
              <w:rPr>
                <w:rFonts w:ascii="Bookman Old Style" w:hAnsi="Bookman Old Style" w:cs="Arial"/>
                <w:b/>
                <w:bCs/>
                <w:sz w:val="24"/>
                <w:szCs w:val="24"/>
              </w:rPr>
            </w:pPr>
            <w:r w:rsidRPr="00E60BE4">
              <w:rPr>
                <w:rFonts w:ascii="Bookman Old Style" w:hAnsi="Bookman Old Style" w:cs="Arial"/>
                <w:b/>
                <w:bCs/>
                <w:sz w:val="24"/>
                <w:szCs w:val="24"/>
              </w:rPr>
              <w:t>Proposed Modification</w:t>
            </w:r>
          </w:p>
        </w:tc>
        <w:tc>
          <w:tcPr>
            <w:tcW w:w="1211" w:type="pct"/>
            <w:vAlign w:val="center"/>
          </w:tcPr>
          <w:p w:rsidR="0023647A" w:rsidRPr="00E60BE4" w:rsidRDefault="0023647A" w:rsidP="00F27E57">
            <w:pPr>
              <w:autoSpaceDE w:val="0"/>
              <w:autoSpaceDN w:val="0"/>
              <w:adjustRightInd w:val="0"/>
              <w:jc w:val="center"/>
              <w:rPr>
                <w:rFonts w:ascii="Bookman Old Style" w:hAnsi="Bookman Old Style" w:cs="Arial"/>
                <w:b/>
                <w:bCs/>
                <w:sz w:val="24"/>
                <w:szCs w:val="24"/>
              </w:rPr>
            </w:pPr>
            <w:r w:rsidRPr="00E60BE4">
              <w:rPr>
                <w:rFonts w:ascii="Bookman Old Style" w:hAnsi="Bookman Old Style" w:cs="Arial"/>
                <w:b/>
                <w:bCs/>
                <w:sz w:val="24"/>
                <w:szCs w:val="24"/>
              </w:rPr>
              <w:t>Rationale for changes made</w:t>
            </w:r>
          </w:p>
        </w:tc>
      </w:tr>
      <w:tr w:rsidR="00AA1B5A" w:rsidRPr="00E60BE4" w:rsidTr="009C0354">
        <w:tc>
          <w:tcPr>
            <w:tcW w:w="219" w:type="pct"/>
          </w:tcPr>
          <w:p w:rsidR="00AA1B5A" w:rsidRPr="00E60BE4" w:rsidRDefault="00AA1B5A" w:rsidP="0070494E">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1</w:t>
            </w:r>
          </w:p>
        </w:tc>
        <w:tc>
          <w:tcPr>
            <w:tcW w:w="452" w:type="pct"/>
          </w:tcPr>
          <w:p w:rsidR="00AA1B5A" w:rsidRPr="00E60BE4" w:rsidRDefault="00AA1B5A" w:rsidP="0070494E">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2(a)</w:t>
            </w:r>
          </w:p>
        </w:tc>
        <w:tc>
          <w:tcPr>
            <w:tcW w:w="574" w:type="pct"/>
          </w:tcPr>
          <w:p w:rsidR="00AA1B5A" w:rsidRPr="00E60BE4" w:rsidRDefault="00981FED" w:rsidP="0070494E">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Omission of definition </w:t>
            </w:r>
            <w:r w:rsidR="00AA1B5A" w:rsidRPr="00E60BE4">
              <w:rPr>
                <w:rFonts w:ascii="Bookman Old Style" w:hAnsi="Bookman Old Style" w:cs="Arial"/>
                <w:sz w:val="24"/>
                <w:szCs w:val="24"/>
              </w:rPr>
              <w:t>2(i)(b)</w:t>
            </w:r>
          </w:p>
        </w:tc>
        <w:tc>
          <w:tcPr>
            <w:tcW w:w="1695" w:type="pct"/>
          </w:tcPr>
          <w:p w:rsidR="00AA1B5A" w:rsidRPr="00E60BE4" w:rsidRDefault="00AA1B5A" w:rsidP="00AA1B5A">
            <w:pPr>
              <w:jc w:val="both"/>
              <w:rPr>
                <w:rFonts w:ascii="Bookman Old Style" w:hAnsi="Bookman Old Style" w:cs="Arial"/>
                <w:sz w:val="24"/>
                <w:szCs w:val="24"/>
              </w:rPr>
            </w:pPr>
            <w:r w:rsidRPr="00E60BE4">
              <w:rPr>
                <w:rFonts w:ascii="Bookman Old Style" w:hAnsi="Bookman Old Style" w:cs="Arial"/>
                <w:sz w:val="24"/>
                <w:szCs w:val="24"/>
              </w:rPr>
              <w:t>"Health Services Agreement" means an agreement as defined in IRDAI (Third Party Administrators - Health Services) Regulations, 2016.</w:t>
            </w:r>
          </w:p>
          <w:p w:rsidR="00AA1B5A" w:rsidRPr="00E60BE4" w:rsidRDefault="00AA1B5A" w:rsidP="0070494E">
            <w:pPr>
              <w:jc w:val="both"/>
              <w:rPr>
                <w:rFonts w:ascii="Bookman Old Style" w:hAnsi="Bookman Old Style" w:cs="Arial"/>
                <w:sz w:val="24"/>
                <w:szCs w:val="24"/>
              </w:rPr>
            </w:pPr>
          </w:p>
        </w:tc>
        <w:tc>
          <w:tcPr>
            <w:tcW w:w="850" w:type="pct"/>
          </w:tcPr>
          <w:p w:rsidR="00AA1B5A" w:rsidRPr="00E60BE4" w:rsidRDefault="00AA1B5A" w:rsidP="0070494E">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Omitted</w:t>
            </w:r>
          </w:p>
        </w:tc>
        <w:tc>
          <w:tcPr>
            <w:tcW w:w="1211" w:type="pct"/>
          </w:tcPr>
          <w:p w:rsidR="00AA1B5A" w:rsidRPr="00E60BE4" w:rsidRDefault="001D0A3D" w:rsidP="001D0A3D">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shd w:val="clear" w:color="auto" w:fill="FFFFFF"/>
              </w:rPr>
              <w:t xml:space="preserve">It is proposed to dispense the mandate of written tripartite / bipartite agreements amongst Insurers, TPAs and hospitals by suitably amending Reg 31. </w:t>
            </w:r>
            <w:r w:rsidR="00AA1B5A" w:rsidRPr="00E60BE4">
              <w:rPr>
                <w:rFonts w:ascii="Bookman Old Style" w:hAnsi="Bookman Old Style" w:cs="Arial"/>
                <w:sz w:val="24"/>
                <w:szCs w:val="24"/>
                <w:shd w:val="clear" w:color="auto" w:fill="FFFFFF"/>
              </w:rPr>
              <w:t>In view of the amendments proposed to Reg. 31</w:t>
            </w:r>
            <w:r w:rsidR="00D007B3" w:rsidRPr="00E60BE4">
              <w:rPr>
                <w:rFonts w:ascii="Bookman Old Style" w:hAnsi="Bookman Old Style" w:cs="Arial"/>
                <w:sz w:val="24"/>
                <w:szCs w:val="24"/>
                <w:shd w:val="clear" w:color="auto" w:fill="FFFFFF"/>
              </w:rPr>
              <w:t xml:space="preserve"> (</w:t>
            </w:r>
            <w:r w:rsidR="00D007B3" w:rsidRPr="00E60BE4">
              <w:rPr>
                <w:rFonts w:ascii="Bookman Old Style" w:hAnsi="Bookman Old Style" w:cs="Arial"/>
                <w:sz w:val="24"/>
                <w:szCs w:val="24"/>
                <w:u w:val="single"/>
              </w:rPr>
              <w:t>Health Services Agreements)</w:t>
            </w:r>
            <w:r w:rsidR="00AA1B5A" w:rsidRPr="00E60BE4">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 xml:space="preserve">the definition is </w:t>
            </w:r>
            <w:r w:rsidR="00AA1B5A" w:rsidRPr="00E60BE4">
              <w:rPr>
                <w:rFonts w:ascii="Bookman Old Style" w:hAnsi="Bookman Old Style" w:cs="Arial"/>
                <w:sz w:val="24"/>
                <w:szCs w:val="24"/>
                <w:shd w:val="clear" w:color="auto" w:fill="FFFFFF"/>
              </w:rPr>
              <w:t xml:space="preserve">proposed to </w:t>
            </w:r>
            <w:r w:rsidR="00883D71" w:rsidRPr="00E60BE4">
              <w:rPr>
                <w:rFonts w:ascii="Bookman Old Style" w:hAnsi="Bookman Old Style" w:cs="Arial"/>
                <w:sz w:val="24"/>
                <w:szCs w:val="24"/>
                <w:shd w:val="clear" w:color="auto" w:fill="FFFFFF"/>
              </w:rPr>
              <w:t>be deleted</w:t>
            </w:r>
            <w:r w:rsidR="00AA1B5A" w:rsidRPr="00E60BE4">
              <w:rPr>
                <w:rFonts w:ascii="Bookman Old Style" w:hAnsi="Bookman Old Style" w:cs="Arial"/>
                <w:sz w:val="24"/>
                <w:szCs w:val="24"/>
                <w:shd w:val="clear" w:color="auto" w:fill="FFFFFF"/>
              </w:rPr>
              <w:t xml:space="preserve">. </w:t>
            </w:r>
            <w:r w:rsidR="00D007B3" w:rsidRPr="00E60BE4">
              <w:rPr>
                <w:rFonts w:ascii="Bookman Old Style" w:hAnsi="Bookman Old Style" w:cs="Arial"/>
                <w:sz w:val="24"/>
                <w:szCs w:val="24"/>
                <w:shd w:val="clear" w:color="auto" w:fill="FFFFFF"/>
              </w:rPr>
              <w:t xml:space="preserve"> Apart from Regulation 31</w:t>
            </w:r>
            <w:r>
              <w:rPr>
                <w:rFonts w:ascii="Bookman Old Style" w:hAnsi="Bookman Old Style" w:cs="Arial"/>
                <w:sz w:val="24"/>
                <w:szCs w:val="24"/>
                <w:shd w:val="clear" w:color="auto" w:fill="FFFFFF"/>
              </w:rPr>
              <w:t>, the</w:t>
            </w:r>
            <w:r w:rsidR="00D007B3" w:rsidRPr="00E60BE4">
              <w:rPr>
                <w:rFonts w:ascii="Bookman Old Style" w:hAnsi="Bookman Old Style" w:cs="Arial"/>
                <w:sz w:val="24"/>
                <w:szCs w:val="24"/>
                <w:shd w:val="clear" w:color="auto" w:fill="FFFFFF"/>
              </w:rPr>
              <w:t xml:space="preserve"> term “</w:t>
            </w:r>
            <w:r w:rsidR="00D007B3" w:rsidRPr="00E60BE4">
              <w:rPr>
                <w:rFonts w:ascii="Bookman Old Style" w:hAnsi="Bookman Old Style" w:cs="Arial"/>
                <w:sz w:val="24"/>
                <w:szCs w:val="24"/>
                <w:u w:val="single"/>
              </w:rPr>
              <w:t>Health Services Agreements” is not referred anywhere in the HIR,2016.</w:t>
            </w:r>
          </w:p>
        </w:tc>
      </w:tr>
      <w:tr w:rsidR="00D007B3" w:rsidRPr="00E60BE4" w:rsidTr="009C0354">
        <w:tc>
          <w:tcPr>
            <w:tcW w:w="219" w:type="pct"/>
          </w:tcPr>
          <w:p w:rsidR="00D007B3" w:rsidRPr="00E60BE4" w:rsidRDefault="0050583E" w:rsidP="00D007B3">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2</w:t>
            </w:r>
          </w:p>
        </w:tc>
        <w:tc>
          <w:tcPr>
            <w:tcW w:w="452" w:type="pct"/>
          </w:tcPr>
          <w:p w:rsidR="00D007B3" w:rsidRPr="00E60BE4" w:rsidRDefault="0050583E" w:rsidP="00A612C8">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2 (b</w:t>
            </w:r>
            <w:r w:rsidR="00D007B3"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Heading of Regulation 3</w:t>
            </w:r>
          </w:p>
          <w:p w:rsidR="00D007B3" w:rsidRPr="00E60BE4" w:rsidRDefault="00D007B3" w:rsidP="00D007B3">
            <w:pPr>
              <w:autoSpaceDE w:val="0"/>
              <w:autoSpaceDN w:val="0"/>
              <w:adjustRightInd w:val="0"/>
              <w:jc w:val="both"/>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Registration and Scope of Health Insurance Business</w:t>
            </w:r>
          </w:p>
          <w:p w:rsidR="00D007B3" w:rsidRPr="00E60BE4" w:rsidRDefault="00D007B3" w:rsidP="00D007B3">
            <w:pPr>
              <w:autoSpaceDE w:val="0"/>
              <w:autoSpaceDN w:val="0"/>
              <w:adjustRightInd w:val="0"/>
              <w:jc w:val="both"/>
              <w:rPr>
                <w:rFonts w:ascii="Bookman Old Style" w:hAnsi="Bookman Old Style" w:cs="Arial"/>
                <w:i/>
                <w:sz w:val="24"/>
                <w:szCs w:val="24"/>
              </w:rPr>
            </w:pPr>
          </w:p>
        </w:tc>
        <w:tc>
          <w:tcPr>
            <w:tcW w:w="850"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Scope of Health Insurance Business</w:t>
            </w:r>
          </w:p>
        </w:tc>
        <w:tc>
          <w:tcPr>
            <w:tcW w:w="1211" w:type="pct"/>
          </w:tcPr>
          <w:p w:rsidR="00D007B3" w:rsidRPr="00E60BE4" w:rsidRDefault="00D007B3" w:rsidP="005B32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As words “Registration and” is redundant for the Regulation</w:t>
            </w:r>
            <w:r w:rsidR="005B32B3">
              <w:rPr>
                <w:rFonts w:ascii="Bookman Old Style" w:hAnsi="Bookman Old Style" w:cs="Arial"/>
                <w:sz w:val="24"/>
                <w:szCs w:val="24"/>
              </w:rPr>
              <w:t>, h</w:t>
            </w:r>
            <w:r w:rsidRPr="00E60BE4">
              <w:rPr>
                <w:rFonts w:ascii="Bookman Old Style" w:hAnsi="Bookman Old Style" w:cs="Arial"/>
                <w:sz w:val="24"/>
                <w:szCs w:val="24"/>
              </w:rPr>
              <w:t>ence, it is proposed to be omitted.</w:t>
            </w:r>
          </w:p>
        </w:tc>
      </w:tr>
      <w:tr w:rsidR="00D007B3" w:rsidRPr="00E60BE4" w:rsidTr="009C0354">
        <w:tc>
          <w:tcPr>
            <w:tcW w:w="219" w:type="pct"/>
          </w:tcPr>
          <w:p w:rsidR="00D007B3" w:rsidRPr="00E60BE4" w:rsidRDefault="0050583E" w:rsidP="006B1732">
            <w:pPr>
              <w:autoSpaceDE w:val="0"/>
              <w:autoSpaceDN w:val="0"/>
              <w:adjustRightInd w:val="0"/>
              <w:rPr>
                <w:rFonts w:ascii="Bookman Old Style" w:hAnsi="Bookman Old Style" w:cs="Arial"/>
                <w:sz w:val="24"/>
                <w:szCs w:val="24"/>
              </w:rPr>
            </w:pPr>
            <w:r>
              <w:rPr>
                <w:rFonts w:ascii="Bookman Old Style" w:hAnsi="Bookman Old Style" w:cs="Arial"/>
                <w:sz w:val="24"/>
                <w:szCs w:val="24"/>
              </w:rPr>
              <w:t>3</w:t>
            </w:r>
          </w:p>
        </w:tc>
        <w:tc>
          <w:tcPr>
            <w:tcW w:w="452" w:type="pct"/>
          </w:tcPr>
          <w:p w:rsidR="00D007B3" w:rsidRPr="00E60BE4" w:rsidRDefault="00D007B3" w:rsidP="0050583E">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2 (</w:t>
            </w:r>
            <w:r w:rsidR="0050583E">
              <w:rPr>
                <w:rFonts w:ascii="Bookman Old Style" w:hAnsi="Bookman Old Style" w:cs="Arial"/>
                <w:sz w:val="24"/>
                <w:szCs w:val="24"/>
              </w:rPr>
              <w:t>c</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lastRenderedPageBreak/>
              <w:t>Regulation 3(b)</w:t>
            </w:r>
          </w:p>
          <w:p w:rsidR="00D007B3" w:rsidRPr="00E60BE4" w:rsidRDefault="00D007B3" w:rsidP="00D007B3">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b/>
                <w:sz w:val="24"/>
                <w:szCs w:val="24"/>
              </w:rPr>
            </w:pPr>
            <w:r w:rsidRPr="00E60BE4">
              <w:rPr>
                <w:rFonts w:ascii="Bookman Old Style" w:hAnsi="Bookman Old Style" w:cs="Arial"/>
                <w:sz w:val="24"/>
                <w:szCs w:val="24"/>
                <w:lang w:val="en-GB"/>
              </w:rPr>
              <w:lastRenderedPageBreak/>
              <w:t xml:space="preserve">Life Insurers may offer long term Individual Health Insurance products </w:t>
            </w:r>
            <w:r w:rsidRPr="00E60BE4">
              <w:rPr>
                <w:rFonts w:ascii="Bookman Old Style" w:hAnsi="Bookman Old Style" w:cs="Arial"/>
                <w:sz w:val="24"/>
                <w:szCs w:val="24"/>
                <w:lang w:val="en-GB"/>
              </w:rPr>
              <w:lastRenderedPageBreak/>
              <w:t xml:space="preserve">i.e., for term of 5 years or more, but the premium for such products shall remain unchanged for at least a period of every block of three years, thereafter the premium may be reviewed and modified as necessary. </w:t>
            </w:r>
          </w:p>
          <w:p w:rsidR="00D007B3" w:rsidRPr="00E60BE4" w:rsidRDefault="00D007B3" w:rsidP="00D007B3">
            <w:pPr>
              <w:jc w:val="both"/>
              <w:rPr>
                <w:rFonts w:ascii="Bookman Old Style" w:hAnsi="Bookman Old Style" w:cs="Arial"/>
                <w:sz w:val="24"/>
                <w:szCs w:val="24"/>
                <w:lang w:val="en-GB"/>
              </w:rPr>
            </w:pPr>
            <w:r w:rsidRPr="00E60BE4">
              <w:rPr>
                <w:rFonts w:ascii="Bookman Old Style" w:hAnsi="Bookman Old Style" w:cs="Arial"/>
                <w:sz w:val="24"/>
                <w:szCs w:val="24"/>
                <w:lang w:val="en-GB"/>
              </w:rPr>
              <w:t>Provided that a life insurer may not offer indemnity based products either Individual or Group. All existing indemnity based products offered by life insurers shall be withdrawn as specified under these Regulations.</w:t>
            </w:r>
          </w:p>
          <w:p w:rsidR="00D007B3" w:rsidRPr="00E60BE4" w:rsidRDefault="00D007B3" w:rsidP="00D007B3">
            <w:pPr>
              <w:pStyle w:val="ListParagraph"/>
              <w:ind w:left="851"/>
              <w:jc w:val="both"/>
              <w:rPr>
                <w:rFonts w:ascii="Bookman Old Style" w:hAnsi="Bookman Old Style" w:cs="Arial"/>
                <w:sz w:val="24"/>
                <w:szCs w:val="24"/>
                <w:lang w:val="en-GB"/>
              </w:rPr>
            </w:pPr>
          </w:p>
          <w:p w:rsidR="00D007B3" w:rsidRPr="00E60BE4" w:rsidRDefault="00D007B3" w:rsidP="00D007B3">
            <w:pPr>
              <w:jc w:val="both"/>
              <w:rPr>
                <w:rFonts w:ascii="Bookman Old Style" w:hAnsi="Bookman Old Style" w:cs="Arial"/>
                <w:sz w:val="24"/>
                <w:szCs w:val="24"/>
                <w:lang w:val="en-GB"/>
              </w:rPr>
            </w:pPr>
            <w:r w:rsidRPr="00E60BE4">
              <w:rPr>
                <w:rFonts w:ascii="Bookman Old Style" w:hAnsi="Bookman Old Style" w:cs="Arial"/>
                <w:sz w:val="24"/>
                <w:szCs w:val="24"/>
                <w:lang w:val="en-GB"/>
              </w:rPr>
              <w:t>Provided also that no single premium health insurance product shall be offered under Unit Linked platform.</w:t>
            </w:r>
          </w:p>
          <w:p w:rsidR="00D007B3" w:rsidRPr="00E60BE4" w:rsidRDefault="00D007B3" w:rsidP="00D007B3">
            <w:pPr>
              <w:autoSpaceDE w:val="0"/>
              <w:autoSpaceDN w:val="0"/>
              <w:adjustRightInd w:val="0"/>
              <w:jc w:val="both"/>
              <w:rPr>
                <w:rFonts w:ascii="Bookman Old Style" w:hAnsi="Bookman Old Style" w:cs="Arial"/>
                <w:sz w:val="24"/>
                <w:szCs w:val="24"/>
              </w:rPr>
            </w:pPr>
          </w:p>
        </w:tc>
        <w:tc>
          <w:tcPr>
            <w:tcW w:w="850" w:type="pct"/>
          </w:tcPr>
          <w:p w:rsidR="00D007B3" w:rsidRPr="00E60BE4" w:rsidRDefault="00D007B3" w:rsidP="00D007B3">
            <w:pPr>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lastRenderedPageBreak/>
              <w:t xml:space="preserve">A life insurer may not offer indemnity </w:t>
            </w:r>
            <w:r w:rsidRPr="00E60BE4">
              <w:rPr>
                <w:rFonts w:ascii="Bookman Old Style" w:hAnsi="Bookman Old Style" w:cs="Times New Roman"/>
                <w:sz w:val="24"/>
                <w:szCs w:val="24"/>
                <w:lang w:val="en-GB"/>
              </w:rPr>
              <w:lastRenderedPageBreak/>
              <w:t xml:space="preserve">based products either Individual or Group. </w:t>
            </w:r>
          </w:p>
          <w:p w:rsidR="00D007B3" w:rsidRPr="00E60BE4" w:rsidRDefault="00D007B3" w:rsidP="00D007B3">
            <w:pPr>
              <w:autoSpaceDE w:val="0"/>
              <w:autoSpaceDN w:val="0"/>
              <w:adjustRightInd w:val="0"/>
              <w:jc w:val="both"/>
              <w:rPr>
                <w:rFonts w:ascii="Bookman Old Style" w:hAnsi="Bookman Old Style" w:cs="Arial"/>
                <w:sz w:val="24"/>
                <w:szCs w:val="24"/>
              </w:rPr>
            </w:pPr>
          </w:p>
        </w:tc>
        <w:tc>
          <w:tcPr>
            <w:tcW w:w="1211" w:type="pct"/>
          </w:tcPr>
          <w:p w:rsidR="00D007B3" w:rsidRPr="00E60BE4" w:rsidRDefault="00D007B3" w:rsidP="00D007B3">
            <w:pPr>
              <w:autoSpaceDE w:val="0"/>
              <w:autoSpaceDN w:val="0"/>
              <w:adjustRightInd w:val="0"/>
              <w:jc w:val="both"/>
              <w:rPr>
                <w:rFonts w:ascii="Bookman Old Style" w:hAnsi="Bookman Old Style"/>
                <w:sz w:val="24"/>
                <w:szCs w:val="24"/>
              </w:rPr>
            </w:pPr>
            <w:r w:rsidRPr="00E60BE4">
              <w:rPr>
                <w:rFonts w:ascii="Bookman Old Style" w:hAnsi="Bookman Old Style"/>
                <w:sz w:val="24"/>
                <w:szCs w:val="24"/>
              </w:rPr>
              <w:lastRenderedPageBreak/>
              <w:t>Regulation specif</w:t>
            </w:r>
            <w:r w:rsidR="00883D71">
              <w:rPr>
                <w:rFonts w:ascii="Bookman Old Style" w:hAnsi="Bookman Old Style"/>
                <w:sz w:val="24"/>
                <w:szCs w:val="24"/>
              </w:rPr>
              <w:t>ied</w:t>
            </w:r>
            <w:r w:rsidRPr="00E60BE4">
              <w:rPr>
                <w:rFonts w:ascii="Bookman Old Style" w:hAnsi="Bookman Old Style"/>
                <w:sz w:val="24"/>
                <w:szCs w:val="24"/>
              </w:rPr>
              <w:t xml:space="preserve"> norms on policy term in case of </w:t>
            </w:r>
            <w:r w:rsidRPr="00E60BE4">
              <w:rPr>
                <w:rFonts w:ascii="Bookman Old Style" w:hAnsi="Bookman Old Style"/>
                <w:sz w:val="24"/>
                <w:szCs w:val="24"/>
              </w:rPr>
              <w:lastRenderedPageBreak/>
              <w:t>health policies offered by Life Insurers. Hard</w:t>
            </w:r>
            <w:r w:rsidR="00D84852">
              <w:rPr>
                <w:rFonts w:ascii="Bookman Old Style" w:hAnsi="Bookman Old Style"/>
                <w:sz w:val="24"/>
                <w:szCs w:val="24"/>
              </w:rPr>
              <w:t xml:space="preserve"> </w:t>
            </w:r>
            <w:r w:rsidRPr="00E60BE4">
              <w:rPr>
                <w:rFonts w:ascii="Bookman Old Style" w:hAnsi="Bookman Old Style"/>
                <w:sz w:val="24"/>
                <w:szCs w:val="24"/>
              </w:rPr>
              <w:t xml:space="preserve">coding these </w:t>
            </w:r>
            <w:r w:rsidR="00883D71">
              <w:rPr>
                <w:rFonts w:ascii="Bookman Old Style" w:hAnsi="Bookman Old Style"/>
                <w:sz w:val="24"/>
                <w:szCs w:val="24"/>
              </w:rPr>
              <w:t xml:space="preserve">policy term </w:t>
            </w:r>
            <w:r w:rsidRPr="00E60BE4">
              <w:rPr>
                <w:rFonts w:ascii="Bookman Old Style" w:hAnsi="Bookman Old Style"/>
                <w:sz w:val="24"/>
                <w:szCs w:val="24"/>
              </w:rPr>
              <w:t xml:space="preserve">norms in regulations may not be required. </w:t>
            </w:r>
            <w:r w:rsidR="005B32B3">
              <w:rPr>
                <w:rFonts w:ascii="Bookman Old Style" w:hAnsi="Bookman Old Style"/>
                <w:sz w:val="24"/>
                <w:szCs w:val="24"/>
              </w:rPr>
              <w:t>As policy term of health insurance products need to be addressed as per the dynamics of the market, it is proposed to specify norms on policy term by way of guidelines notified under these regulations. F</w:t>
            </w:r>
            <w:r w:rsidRPr="00E60BE4">
              <w:rPr>
                <w:rFonts w:ascii="Bookman Old Style" w:hAnsi="Bookman Old Style"/>
                <w:sz w:val="24"/>
                <w:szCs w:val="24"/>
              </w:rPr>
              <w:t>ollowing sub-regulation is proposed to be incorporated under Regulation 3 (c).</w:t>
            </w:r>
          </w:p>
          <w:p w:rsidR="00D007B3" w:rsidRPr="00E60BE4" w:rsidRDefault="00D007B3" w:rsidP="00D007B3">
            <w:pPr>
              <w:autoSpaceDE w:val="0"/>
              <w:autoSpaceDN w:val="0"/>
              <w:adjustRightInd w:val="0"/>
              <w:jc w:val="both"/>
              <w:rPr>
                <w:rFonts w:ascii="Bookman Old Style" w:hAnsi="Bookman Old Style" w:cs="Arial"/>
                <w:sz w:val="24"/>
                <w:szCs w:val="24"/>
              </w:rPr>
            </w:pPr>
          </w:p>
          <w:p w:rsidR="00D007B3" w:rsidRPr="00E60BE4" w:rsidRDefault="00D007B3" w:rsidP="00D007B3">
            <w:pPr>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t>“Insurers may offer health products for a tenure as per the guidelines as may be specified by the Authority from time to time”</w:t>
            </w:r>
          </w:p>
          <w:p w:rsidR="00D007B3" w:rsidRPr="00E60BE4" w:rsidRDefault="00D007B3" w:rsidP="00D007B3">
            <w:pPr>
              <w:jc w:val="both"/>
              <w:rPr>
                <w:rFonts w:ascii="Bookman Old Style" w:hAnsi="Bookman Old Style" w:cs="Times New Roman"/>
                <w:sz w:val="24"/>
                <w:szCs w:val="24"/>
                <w:lang w:val="en-GB"/>
              </w:rPr>
            </w:pPr>
          </w:p>
          <w:p w:rsidR="00D007B3" w:rsidRPr="00E60BE4" w:rsidRDefault="00D007B3" w:rsidP="00D007B3">
            <w:pPr>
              <w:autoSpaceDE w:val="0"/>
              <w:autoSpaceDN w:val="0"/>
              <w:adjustRightInd w:val="0"/>
              <w:jc w:val="both"/>
              <w:rPr>
                <w:rFonts w:ascii="Bookman Old Style" w:hAnsi="Bookman Old Style" w:cs="Arial"/>
                <w:sz w:val="24"/>
                <w:szCs w:val="24"/>
              </w:rPr>
            </w:pPr>
          </w:p>
          <w:p w:rsidR="00D007B3" w:rsidRPr="00E60BE4" w:rsidRDefault="00A612C8" w:rsidP="00D007B3">
            <w:pPr>
              <w:autoSpaceDE w:val="0"/>
              <w:autoSpaceDN w:val="0"/>
              <w:adjustRightInd w:val="0"/>
              <w:jc w:val="both"/>
              <w:rPr>
                <w:rFonts w:ascii="Bookman Old Style" w:hAnsi="Bookman Old Style" w:cs="Arial"/>
                <w:sz w:val="24"/>
                <w:szCs w:val="24"/>
                <w:shd w:val="clear" w:color="auto" w:fill="FFFFFF"/>
              </w:rPr>
            </w:pPr>
            <w:r w:rsidRPr="00E60BE4">
              <w:rPr>
                <w:rFonts w:ascii="Bookman Old Style" w:hAnsi="Bookman Old Style" w:cs="Arial"/>
                <w:sz w:val="24"/>
                <w:szCs w:val="24"/>
              </w:rPr>
              <w:t xml:space="preserve">Further, </w:t>
            </w:r>
            <w:r w:rsidRPr="00E60BE4">
              <w:rPr>
                <w:rFonts w:ascii="Bookman Old Style" w:hAnsi="Bookman Old Style" w:cs="Arial"/>
                <w:sz w:val="24"/>
                <w:szCs w:val="24"/>
                <w:shd w:val="clear" w:color="auto" w:fill="FFFFFF"/>
              </w:rPr>
              <w:t>HIR 2016 have already stipulated for withdrawal of indemnity based products by life insurers and hence, reference regarding withdrawal of these products is redundant.</w:t>
            </w:r>
          </w:p>
          <w:p w:rsidR="00A612C8" w:rsidRPr="00E60BE4" w:rsidRDefault="00A612C8" w:rsidP="00D007B3">
            <w:pPr>
              <w:autoSpaceDE w:val="0"/>
              <w:autoSpaceDN w:val="0"/>
              <w:adjustRightInd w:val="0"/>
              <w:jc w:val="both"/>
              <w:rPr>
                <w:rFonts w:ascii="Bookman Old Style" w:hAnsi="Bookman Old Style" w:cs="Arial"/>
                <w:sz w:val="24"/>
                <w:szCs w:val="24"/>
              </w:rPr>
            </w:pPr>
          </w:p>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In view of the above, the sub-regulation 3(b) is proposed to be suitably substituted.</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4</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A318E6">
              <w:rPr>
                <w:rFonts w:ascii="Bookman Old Style" w:hAnsi="Bookman Old Style" w:cs="Arial"/>
                <w:sz w:val="24"/>
                <w:szCs w:val="24"/>
              </w:rPr>
              <w:t>d</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Regulation 3(c)</w:t>
            </w:r>
          </w:p>
          <w:p w:rsidR="00D007B3" w:rsidRPr="00E60BE4" w:rsidRDefault="00D007B3" w:rsidP="00D007B3">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b/>
                <w:sz w:val="24"/>
                <w:szCs w:val="24"/>
              </w:rPr>
            </w:pPr>
            <w:r w:rsidRPr="00E60BE4">
              <w:rPr>
                <w:rFonts w:ascii="Bookman Old Style" w:hAnsi="Bookman Old Style" w:cs="Arial"/>
                <w:sz w:val="24"/>
                <w:szCs w:val="24"/>
                <w:lang w:val="en-GB"/>
              </w:rPr>
              <w:t>General Insurers and Health Insurers may offer individual health products with a minimum tenure of one year and a maximum tenure of three years, provided that the premium remains unchanged for the tenure.</w:t>
            </w:r>
          </w:p>
          <w:p w:rsidR="00D007B3" w:rsidRPr="00E60BE4" w:rsidRDefault="00D007B3" w:rsidP="00D007B3">
            <w:pPr>
              <w:autoSpaceDE w:val="0"/>
              <w:autoSpaceDN w:val="0"/>
              <w:adjustRightInd w:val="0"/>
              <w:jc w:val="both"/>
              <w:rPr>
                <w:rFonts w:ascii="Bookman Old Style" w:hAnsi="Bookman Old Style" w:cs="Arial"/>
                <w:sz w:val="24"/>
                <w:szCs w:val="24"/>
              </w:rPr>
            </w:pPr>
          </w:p>
        </w:tc>
        <w:tc>
          <w:tcPr>
            <w:tcW w:w="850" w:type="pct"/>
          </w:tcPr>
          <w:p w:rsidR="00D007B3" w:rsidRPr="00E60BE4" w:rsidRDefault="00D007B3" w:rsidP="00D007B3">
            <w:pPr>
              <w:jc w:val="both"/>
              <w:rPr>
                <w:rFonts w:ascii="Bookman Old Style" w:hAnsi="Bookman Old Style" w:cs="Times New Roman"/>
                <w:b/>
                <w:sz w:val="24"/>
                <w:szCs w:val="24"/>
              </w:rPr>
            </w:pPr>
            <w:r w:rsidRPr="00E60BE4">
              <w:rPr>
                <w:rFonts w:ascii="Bookman Old Style" w:hAnsi="Bookman Old Style" w:cs="Times New Roman"/>
                <w:sz w:val="24"/>
                <w:szCs w:val="24"/>
                <w:lang w:val="en-GB"/>
              </w:rPr>
              <w:t xml:space="preserve">“Insurers may offer health </w:t>
            </w:r>
            <w:r w:rsidR="00586CB9" w:rsidRPr="00E60BE4">
              <w:rPr>
                <w:rFonts w:ascii="Bookman Old Style" w:hAnsi="Bookman Old Style" w:cs="Times New Roman"/>
                <w:sz w:val="24"/>
                <w:szCs w:val="24"/>
                <w:lang w:val="en-GB"/>
              </w:rPr>
              <w:t xml:space="preserve">insurance </w:t>
            </w:r>
            <w:r w:rsidRPr="00E60BE4">
              <w:rPr>
                <w:rFonts w:ascii="Bookman Old Style" w:hAnsi="Bookman Old Style" w:cs="Times New Roman"/>
                <w:sz w:val="24"/>
                <w:szCs w:val="24"/>
                <w:lang w:val="en-GB"/>
              </w:rPr>
              <w:t>products for a tenure as per the guidelines as may be specified by the Authority from time to time”</w:t>
            </w:r>
          </w:p>
          <w:p w:rsidR="00D007B3" w:rsidRPr="00E60BE4" w:rsidRDefault="00D007B3" w:rsidP="00D007B3">
            <w:pPr>
              <w:autoSpaceDE w:val="0"/>
              <w:autoSpaceDN w:val="0"/>
              <w:adjustRightInd w:val="0"/>
              <w:jc w:val="both"/>
              <w:rPr>
                <w:rFonts w:ascii="Bookman Old Style" w:hAnsi="Bookman Old Style" w:cs="Arial"/>
                <w:sz w:val="24"/>
                <w:szCs w:val="24"/>
              </w:rPr>
            </w:pPr>
          </w:p>
        </w:tc>
        <w:tc>
          <w:tcPr>
            <w:tcW w:w="1211" w:type="pct"/>
          </w:tcPr>
          <w:p w:rsidR="00D007B3" w:rsidRPr="00E60BE4" w:rsidRDefault="00E057E9" w:rsidP="00D007B3">
            <w:pPr>
              <w:autoSpaceDE w:val="0"/>
              <w:autoSpaceDN w:val="0"/>
              <w:adjustRightInd w:val="0"/>
              <w:jc w:val="both"/>
              <w:rPr>
                <w:rFonts w:ascii="Bookman Old Style" w:hAnsi="Bookman Old Style" w:cs="Arial"/>
                <w:sz w:val="24"/>
                <w:szCs w:val="24"/>
              </w:rPr>
            </w:pPr>
            <w:r>
              <w:rPr>
                <w:rFonts w:ascii="Bookman Old Style" w:hAnsi="Bookman Old Style"/>
                <w:sz w:val="24"/>
                <w:szCs w:val="24"/>
              </w:rPr>
              <w:t>Same as above</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5</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A318E6">
              <w:rPr>
                <w:rFonts w:ascii="Bookman Old Style" w:hAnsi="Bookman Old Style" w:cs="Arial"/>
                <w:sz w:val="24"/>
                <w:szCs w:val="24"/>
              </w:rPr>
              <w:t xml:space="preserve">e) and </w:t>
            </w:r>
            <w:r w:rsidRPr="00E60BE4">
              <w:rPr>
                <w:rFonts w:ascii="Bookman Old Style" w:hAnsi="Bookman Old Style" w:cs="Arial"/>
                <w:sz w:val="24"/>
                <w:szCs w:val="24"/>
              </w:rPr>
              <w:t>2 (</w:t>
            </w:r>
            <w:r w:rsidR="00A318E6">
              <w:rPr>
                <w:rFonts w:ascii="Bookman Old Style" w:hAnsi="Bookman Old Style" w:cs="Arial"/>
                <w:sz w:val="24"/>
                <w:szCs w:val="24"/>
              </w:rPr>
              <w:t>f</w:t>
            </w:r>
            <w:r w:rsidRPr="00E60BE4">
              <w:rPr>
                <w:rFonts w:ascii="Bookman Old Style" w:hAnsi="Bookman Old Style" w:cs="Arial"/>
                <w:sz w:val="24"/>
                <w:szCs w:val="24"/>
              </w:rPr>
              <w:t xml:space="preserve">) </w:t>
            </w:r>
          </w:p>
        </w:tc>
        <w:tc>
          <w:tcPr>
            <w:tcW w:w="574" w:type="pct"/>
          </w:tcPr>
          <w:p w:rsidR="00D007B3" w:rsidRPr="00E60BE4" w:rsidRDefault="00A318E6" w:rsidP="00A318E6">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 xml:space="preserve">Omission of Regulation 3(d) and </w:t>
            </w:r>
            <w:r w:rsidR="00D007B3" w:rsidRPr="00E60BE4">
              <w:rPr>
                <w:rFonts w:ascii="Bookman Old Style" w:hAnsi="Bookman Old Style" w:cs="Arial"/>
                <w:sz w:val="24"/>
                <w:szCs w:val="24"/>
              </w:rPr>
              <w:t xml:space="preserve">3 (e) </w:t>
            </w:r>
          </w:p>
        </w:tc>
        <w:tc>
          <w:tcPr>
            <w:tcW w:w="1695" w:type="pct"/>
          </w:tcPr>
          <w:p w:rsidR="00E60BE4" w:rsidRPr="00E60BE4" w:rsidRDefault="00D007B3" w:rsidP="00D007B3">
            <w:pPr>
              <w:jc w:val="both"/>
              <w:rPr>
                <w:rFonts w:ascii="Bookman Old Style" w:hAnsi="Bookman Old Style" w:cs="Arial"/>
                <w:bCs/>
                <w:sz w:val="24"/>
                <w:szCs w:val="24"/>
              </w:rPr>
            </w:pPr>
            <w:r w:rsidRPr="00E60BE4">
              <w:rPr>
                <w:rFonts w:ascii="Bookman Old Style" w:eastAsia="Times New Roman" w:hAnsi="Bookman Old Style" w:cs="Arial"/>
                <w:sz w:val="24"/>
                <w:szCs w:val="24"/>
              </w:rPr>
              <w:t xml:space="preserve">3(d) Group Health Policies </w:t>
            </w:r>
            <w:r w:rsidRPr="00E60BE4">
              <w:rPr>
                <w:rFonts w:ascii="Bookman Old Style" w:hAnsi="Bookman Old Style" w:cs="Arial"/>
                <w:sz w:val="24"/>
                <w:szCs w:val="24"/>
              </w:rPr>
              <w:t xml:space="preserve">may be offered by any insurer for a term of one year except credit linked products where the term can be extended up to the loan period not exceeding five years. </w:t>
            </w:r>
            <w:r w:rsidRPr="00E60BE4">
              <w:rPr>
                <w:rFonts w:ascii="Bookman Old Style" w:hAnsi="Bookman Old Style" w:cs="Arial"/>
                <w:bCs/>
                <w:sz w:val="24"/>
                <w:szCs w:val="24"/>
              </w:rPr>
              <w:t>Provided General Insurers and Health Insurers may also offer Credit Linked Group Personal</w:t>
            </w:r>
          </w:p>
          <w:p w:rsidR="00D007B3" w:rsidRPr="00E60BE4" w:rsidRDefault="00D007B3" w:rsidP="00D007B3">
            <w:pPr>
              <w:jc w:val="both"/>
              <w:rPr>
                <w:rFonts w:ascii="Bookman Old Style" w:hAnsi="Bookman Old Style" w:cs="Arial"/>
                <w:b/>
                <w:sz w:val="24"/>
                <w:szCs w:val="24"/>
              </w:rPr>
            </w:pPr>
            <w:r w:rsidRPr="00E60BE4">
              <w:rPr>
                <w:rFonts w:ascii="Bookman Old Style" w:hAnsi="Bookman Old Style" w:cs="Arial"/>
                <w:bCs/>
                <w:sz w:val="24"/>
                <w:szCs w:val="24"/>
              </w:rPr>
              <w:t xml:space="preserve"> Accident policies for a term extended up to the loan period not exceeding five years.</w:t>
            </w:r>
          </w:p>
          <w:p w:rsidR="00D007B3" w:rsidRPr="00E60BE4" w:rsidRDefault="00D007B3" w:rsidP="00D007B3">
            <w:pPr>
              <w:jc w:val="both"/>
              <w:rPr>
                <w:rFonts w:ascii="Bookman Old Style" w:hAnsi="Bookman Old Style" w:cs="Arial"/>
                <w:bCs/>
                <w:sz w:val="24"/>
                <w:szCs w:val="24"/>
              </w:rPr>
            </w:pPr>
            <w:r w:rsidRPr="00E60BE4">
              <w:rPr>
                <w:rFonts w:ascii="Bookman Old Style" w:hAnsi="Bookman Old Style" w:cs="Arial"/>
                <w:bCs/>
                <w:sz w:val="24"/>
                <w:szCs w:val="24"/>
              </w:rPr>
              <w:t xml:space="preserve">Provided further, notwithstanding the provisions of Regulation 4 (b) of these Regulations, Life Insurers may offer Group Health Insurance Policies as specified in Regulation (3) (d). </w:t>
            </w:r>
          </w:p>
          <w:p w:rsidR="00D007B3" w:rsidRPr="00E60BE4" w:rsidRDefault="00D007B3" w:rsidP="00D007B3">
            <w:pPr>
              <w:jc w:val="both"/>
              <w:rPr>
                <w:rFonts w:ascii="Bookman Old Style" w:hAnsi="Bookman Old Style" w:cs="Arial"/>
                <w:b/>
                <w:sz w:val="24"/>
                <w:szCs w:val="24"/>
              </w:rPr>
            </w:pPr>
          </w:p>
          <w:p w:rsidR="00D007B3" w:rsidRPr="00A318E6" w:rsidRDefault="00D007B3" w:rsidP="00E60BE4">
            <w:pPr>
              <w:jc w:val="both"/>
              <w:rPr>
                <w:rFonts w:ascii="Bookman Old Style" w:hAnsi="Bookman Old Style" w:cs="Arial"/>
                <w:sz w:val="24"/>
                <w:szCs w:val="24"/>
                <w:lang w:val="en-GB"/>
              </w:rPr>
            </w:pPr>
            <w:r w:rsidRPr="00E60BE4">
              <w:rPr>
                <w:rFonts w:ascii="Bookman Old Style" w:hAnsi="Bookman Old Style" w:cs="Arial"/>
                <w:sz w:val="24"/>
                <w:szCs w:val="24"/>
                <w:lang w:val="en-GB"/>
              </w:rPr>
              <w:lastRenderedPageBreak/>
              <w:t>3(e)Group Personal Accident Policies may be offered by General Insurers and Health insurers with term less than one year also to provide coverage to specific events. Other Insurance Products offering Travel Cover and Individual Personal Accident Cover may also be offered for a period less than one year.</w:t>
            </w:r>
          </w:p>
        </w:tc>
        <w:tc>
          <w:tcPr>
            <w:tcW w:w="850"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lastRenderedPageBreak/>
              <w:t>Omitted</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Same as above</w:t>
            </w:r>
          </w:p>
        </w:tc>
      </w:tr>
      <w:tr w:rsidR="003356DD" w:rsidRPr="00E60BE4" w:rsidTr="009C0354">
        <w:tc>
          <w:tcPr>
            <w:tcW w:w="219" w:type="pct"/>
          </w:tcPr>
          <w:p w:rsidR="003356DD"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6</w:t>
            </w:r>
          </w:p>
        </w:tc>
        <w:tc>
          <w:tcPr>
            <w:tcW w:w="452" w:type="pct"/>
          </w:tcPr>
          <w:p w:rsidR="003356DD"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2(g</w:t>
            </w:r>
            <w:r w:rsidR="003356DD" w:rsidRPr="00E60BE4">
              <w:rPr>
                <w:rFonts w:ascii="Bookman Old Style" w:hAnsi="Bookman Old Style" w:cs="Arial"/>
                <w:sz w:val="24"/>
                <w:szCs w:val="24"/>
              </w:rPr>
              <w:t>)</w:t>
            </w:r>
          </w:p>
        </w:tc>
        <w:tc>
          <w:tcPr>
            <w:tcW w:w="574" w:type="pct"/>
          </w:tcPr>
          <w:p w:rsidR="003356DD" w:rsidRPr="00E60BE4" w:rsidRDefault="003356DD" w:rsidP="003356DD">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3356DD" w:rsidRPr="00E60BE4" w:rsidRDefault="003356DD" w:rsidP="003356DD">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Regulation 4(b)</w:t>
            </w:r>
          </w:p>
          <w:p w:rsidR="003356DD" w:rsidRPr="00E60BE4" w:rsidRDefault="003356DD" w:rsidP="00D007B3">
            <w:pPr>
              <w:autoSpaceDE w:val="0"/>
              <w:autoSpaceDN w:val="0"/>
              <w:adjustRightInd w:val="0"/>
              <w:jc w:val="center"/>
              <w:rPr>
                <w:rFonts w:ascii="Bookman Old Style" w:hAnsi="Bookman Old Style" w:cs="Arial"/>
                <w:sz w:val="24"/>
                <w:szCs w:val="24"/>
              </w:rPr>
            </w:pPr>
          </w:p>
        </w:tc>
        <w:tc>
          <w:tcPr>
            <w:tcW w:w="1695" w:type="pct"/>
          </w:tcPr>
          <w:p w:rsidR="003356DD" w:rsidRPr="00E60BE4" w:rsidRDefault="003356DD" w:rsidP="003356DD">
            <w:pPr>
              <w:widowControl w:val="0"/>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Health Insurance products of Life Insurers shall also be subject to the </w:t>
            </w:r>
            <w:proofErr w:type="gramStart"/>
            <w:r w:rsidRPr="00E60BE4">
              <w:rPr>
                <w:rFonts w:ascii="Bookman Old Style" w:hAnsi="Bookman Old Style" w:cs="Arial"/>
                <w:sz w:val="24"/>
                <w:szCs w:val="24"/>
              </w:rPr>
              <w:t>provisions  specifically</w:t>
            </w:r>
            <w:proofErr w:type="gramEnd"/>
            <w:r w:rsidRPr="00E60BE4">
              <w:rPr>
                <w:rFonts w:ascii="Bookman Old Style" w:hAnsi="Bookman Old Style" w:cs="Arial"/>
                <w:sz w:val="24"/>
                <w:szCs w:val="24"/>
              </w:rPr>
              <w:t xml:space="preserve"> provided for health products in the  following Regulations as modified from time to time:</w:t>
            </w:r>
          </w:p>
          <w:p w:rsidR="003356DD" w:rsidRPr="00E60BE4" w:rsidRDefault="003356DD" w:rsidP="009A715C">
            <w:pPr>
              <w:pStyle w:val="ListParagraph"/>
              <w:widowControl w:val="0"/>
              <w:numPr>
                <w:ilvl w:val="3"/>
                <w:numId w:val="1"/>
              </w:numPr>
              <w:autoSpaceDE w:val="0"/>
              <w:autoSpaceDN w:val="0"/>
              <w:adjustRightInd w:val="0"/>
              <w:ind w:left="1134"/>
              <w:contextualSpacing w:val="0"/>
              <w:jc w:val="both"/>
              <w:rPr>
                <w:rFonts w:ascii="Bookman Old Style" w:hAnsi="Bookman Old Style" w:cs="Arial"/>
                <w:sz w:val="24"/>
                <w:szCs w:val="24"/>
              </w:rPr>
            </w:pPr>
            <w:r w:rsidRPr="00E60BE4">
              <w:rPr>
                <w:rFonts w:ascii="Bookman Old Style" w:hAnsi="Bookman Old Style" w:cs="Arial"/>
                <w:sz w:val="24"/>
                <w:szCs w:val="24"/>
              </w:rPr>
              <w:t>IRDA (Linked Insurance Products) Regulations, 2013.</w:t>
            </w:r>
          </w:p>
          <w:p w:rsidR="003356DD" w:rsidRPr="00E60BE4" w:rsidRDefault="003356DD" w:rsidP="009A715C">
            <w:pPr>
              <w:pStyle w:val="ListParagraph"/>
              <w:widowControl w:val="0"/>
              <w:numPr>
                <w:ilvl w:val="3"/>
                <w:numId w:val="1"/>
              </w:numPr>
              <w:autoSpaceDE w:val="0"/>
              <w:autoSpaceDN w:val="0"/>
              <w:adjustRightInd w:val="0"/>
              <w:ind w:left="1134"/>
              <w:jc w:val="both"/>
              <w:rPr>
                <w:rFonts w:ascii="Bookman Old Style" w:hAnsi="Bookman Old Style" w:cs="Arial"/>
                <w:sz w:val="24"/>
                <w:szCs w:val="24"/>
              </w:rPr>
            </w:pPr>
            <w:r w:rsidRPr="00E60BE4">
              <w:rPr>
                <w:rFonts w:ascii="Bookman Old Style" w:hAnsi="Bookman Old Style" w:cs="Arial"/>
                <w:sz w:val="24"/>
                <w:szCs w:val="24"/>
              </w:rPr>
              <w:t>IRDA (Non-linked Insurance Products) Regulations, 2013.</w:t>
            </w:r>
          </w:p>
          <w:p w:rsidR="003356DD" w:rsidRPr="00E60BE4" w:rsidRDefault="003356DD" w:rsidP="00D007B3">
            <w:pPr>
              <w:jc w:val="both"/>
              <w:rPr>
                <w:rFonts w:ascii="Bookman Old Style" w:eastAsia="Times New Roman" w:hAnsi="Bookman Old Style" w:cs="Arial"/>
                <w:sz w:val="24"/>
                <w:szCs w:val="24"/>
              </w:rPr>
            </w:pPr>
          </w:p>
        </w:tc>
        <w:tc>
          <w:tcPr>
            <w:tcW w:w="850" w:type="pct"/>
          </w:tcPr>
          <w:p w:rsidR="003356DD" w:rsidRPr="00E60BE4" w:rsidRDefault="003356DD" w:rsidP="003356DD">
            <w:pPr>
              <w:widowControl w:val="0"/>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Health Insurance products of Life Insurers shall also be subject to the </w:t>
            </w:r>
            <w:r w:rsidR="00883D71" w:rsidRPr="00E60BE4">
              <w:rPr>
                <w:rFonts w:ascii="Bookman Old Style" w:hAnsi="Bookman Old Style" w:cs="Arial"/>
                <w:sz w:val="24"/>
                <w:szCs w:val="24"/>
              </w:rPr>
              <w:t>provisions specifically</w:t>
            </w:r>
            <w:r w:rsidRPr="00E60BE4">
              <w:rPr>
                <w:rFonts w:ascii="Bookman Old Style" w:hAnsi="Bookman Old Style" w:cs="Arial"/>
                <w:sz w:val="24"/>
                <w:szCs w:val="24"/>
              </w:rPr>
              <w:t xml:space="preserve"> provided for health products in the following Regulations as modified from time to time:</w:t>
            </w:r>
          </w:p>
          <w:p w:rsidR="003356DD" w:rsidRPr="00E60BE4" w:rsidRDefault="003356DD" w:rsidP="009A715C">
            <w:pPr>
              <w:pStyle w:val="ListParagraph"/>
              <w:widowControl w:val="0"/>
              <w:numPr>
                <w:ilvl w:val="3"/>
                <w:numId w:val="7"/>
              </w:numPr>
              <w:autoSpaceDE w:val="0"/>
              <w:autoSpaceDN w:val="0"/>
              <w:adjustRightInd w:val="0"/>
              <w:ind w:left="630" w:hanging="425"/>
              <w:contextualSpacing w:val="0"/>
              <w:jc w:val="both"/>
              <w:rPr>
                <w:rFonts w:ascii="Bookman Old Style" w:hAnsi="Bookman Old Style" w:cs="Arial"/>
                <w:sz w:val="24"/>
                <w:szCs w:val="24"/>
              </w:rPr>
            </w:pPr>
            <w:r w:rsidRPr="00E60BE4">
              <w:rPr>
                <w:rFonts w:ascii="Bookman Old Style" w:hAnsi="Bookman Old Style" w:cs="Arial"/>
                <w:sz w:val="24"/>
                <w:szCs w:val="24"/>
              </w:rPr>
              <w:t>IRDAI (Linked Insurance Products) Regulations, 2019.</w:t>
            </w:r>
          </w:p>
          <w:p w:rsidR="003356DD" w:rsidRPr="00E60BE4" w:rsidRDefault="003356DD" w:rsidP="00E60BE4">
            <w:pPr>
              <w:pStyle w:val="ListParagraph"/>
              <w:widowControl w:val="0"/>
              <w:numPr>
                <w:ilvl w:val="3"/>
                <w:numId w:val="7"/>
              </w:numPr>
              <w:autoSpaceDE w:val="0"/>
              <w:autoSpaceDN w:val="0"/>
              <w:adjustRightInd w:val="0"/>
              <w:ind w:left="630" w:hanging="425"/>
              <w:jc w:val="both"/>
              <w:rPr>
                <w:rFonts w:ascii="Bookman Old Style" w:hAnsi="Bookman Old Style" w:cs="Arial"/>
                <w:sz w:val="24"/>
                <w:szCs w:val="24"/>
              </w:rPr>
            </w:pPr>
            <w:r w:rsidRPr="00E60BE4">
              <w:rPr>
                <w:rFonts w:ascii="Bookman Old Style" w:hAnsi="Bookman Old Style" w:cs="Arial"/>
                <w:sz w:val="24"/>
                <w:szCs w:val="24"/>
              </w:rPr>
              <w:t>IRDAI (Non-linked Insurance Products) Regulations, 2019.</w:t>
            </w:r>
          </w:p>
          <w:p w:rsidR="003356DD" w:rsidRPr="00E60BE4" w:rsidRDefault="003356DD" w:rsidP="00D007B3">
            <w:pPr>
              <w:pStyle w:val="ListParagraph"/>
              <w:widowControl w:val="0"/>
              <w:numPr>
                <w:ilvl w:val="3"/>
                <w:numId w:val="7"/>
              </w:numPr>
              <w:autoSpaceDE w:val="0"/>
              <w:autoSpaceDN w:val="0"/>
              <w:adjustRightInd w:val="0"/>
              <w:ind w:left="630" w:hanging="425"/>
              <w:jc w:val="both"/>
              <w:rPr>
                <w:rFonts w:ascii="Bookman Old Style" w:hAnsi="Bookman Old Style" w:cs="Arial"/>
                <w:sz w:val="24"/>
                <w:szCs w:val="24"/>
              </w:rPr>
            </w:pPr>
            <w:r w:rsidRPr="00E60BE4">
              <w:rPr>
                <w:rFonts w:ascii="Bookman Old Style" w:hAnsi="Bookman Old Style" w:cs="Arial"/>
                <w:sz w:val="24"/>
                <w:szCs w:val="24"/>
                <w:shd w:val="clear" w:color="auto" w:fill="FFFFFF"/>
              </w:rPr>
              <w:lastRenderedPageBreak/>
              <w:t>IRDAI (Protection of Policyholders’ Interests) Regulations, 2017.</w:t>
            </w:r>
          </w:p>
        </w:tc>
        <w:tc>
          <w:tcPr>
            <w:tcW w:w="1211" w:type="pct"/>
          </w:tcPr>
          <w:p w:rsidR="003356DD" w:rsidRPr="00E60BE4" w:rsidRDefault="000B5C0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lastRenderedPageBreak/>
              <w:t xml:space="preserve">Due to </w:t>
            </w:r>
            <w:r w:rsidR="00E60BE4" w:rsidRPr="00E60BE4">
              <w:rPr>
                <w:rFonts w:ascii="Bookman Old Style" w:hAnsi="Bookman Old Style" w:cs="Arial"/>
                <w:sz w:val="24"/>
                <w:szCs w:val="24"/>
              </w:rPr>
              <w:t>Amendment</w:t>
            </w:r>
            <w:r w:rsidR="00E057E9">
              <w:rPr>
                <w:rFonts w:ascii="Bookman Old Style" w:hAnsi="Bookman Old Style" w:cs="Arial"/>
                <w:sz w:val="24"/>
                <w:szCs w:val="24"/>
              </w:rPr>
              <w:t xml:space="preserve">s to </w:t>
            </w:r>
            <w:r w:rsidR="003356DD" w:rsidRPr="00E60BE4">
              <w:rPr>
                <w:rFonts w:ascii="Bookman Old Style" w:hAnsi="Bookman Old Style" w:cs="Arial"/>
                <w:sz w:val="24"/>
                <w:szCs w:val="24"/>
              </w:rPr>
              <w:t>IRDAI Linked Insurance Products &amp; Non- Linked Insurance Products Regulations</w:t>
            </w:r>
            <w:r w:rsidR="00E057E9">
              <w:rPr>
                <w:rFonts w:ascii="Bookman Old Style" w:hAnsi="Bookman Old Style" w:cs="Arial"/>
                <w:sz w:val="24"/>
                <w:szCs w:val="24"/>
              </w:rPr>
              <w:t xml:space="preserve"> reference is made to the Regulations in vogue</w:t>
            </w:r>
            <w:r w:rsidR="003356DD" w:rsidRPr="00E60BE4">
              <w:rPr>
                <w:rFonts w:ascii="Bookman Old Style" w:hAnsi="Bookman Old Style" w:cs="Arial"/>
                <w:sz w:val="24"/>
                <w:szCs w:val="24"/>
              </w:rPr>
              <w:t>.</w:t>
            </w:r>
          </w:p>
          <w:p w:rsidR="003356DD" w:rsidRPr="00E60BE4" w:rsidRDefault="003356DD" w:rsidP="00D007B3">
            <w:pPr>
              <w:autoSpaceDE w:val="0"/>
              <w:autoSpaceDN w:val="0"/>
              <w:adjustRightInd w:val="0"/>
              <w:jc w:val="both"/>
              <w:rPr>
                <w:rFonts w:ascii="Bookman Old Style" w:hAnsi="Bookman Old Style" w:cs="Arial"/>
                <w:sz w:val="24"/>
                <w:szCs w:val="24"/>
              </w:rPr>
            </w:pPr>
          </w:p>
          <w:p w:rsidR="003356DD" w:rsidRPr="00E60BE4" w:rsidRDefault="003356DD"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Reference of IRDAI (PPHI) Regulations also added for clarity.</w:t>
            </w:r>
          </w:p>
        </w:tc>
      </w:tr>
      <w:tr w:rsidR="000B5C03" w:rsidRPr="00E60BE4" w:rsidTr="009C0354">
        <w:tc>
          <w:tcPr>
            <w:tcW w:w="219" w:type="pct"/>
          </w:tcPr>
          <w:p w:rsidR="000B5C0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7</w:t>
            </w:r>
          </w:p>
        </w:tc>
        <w:tc>
          <w:tcPr>
            <w:tcW w:w="452" w:type="pct"/>
          </w:tcPr>
          <w:p w:rsidR="000B5C03" w:rsidRPr="00E60BE4" w:rsidRDefault="000B5C03" w:rsidP="00A318E6">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A318E6">
              <w:rPr>
                <w:rFonts w:ascii="Bookman Old Style" w:hAnsi="Bookman Old Style" w:cs="Arial"/>
                <w:sz w:val="24"/>
                <w:szCs w:val="24"/>
              </w:rPr>
              <w:t>h</w:t>
            </w:r>
            <w:r w:rsidRPr="00E60BE4">
              <w:rPr>
                <w:rFonts w:ascii="Bookman Old Style" w:hAnsi="Bookman Old Style" w:cs="Arial"/>
                <w:sz w:val="24"/>
                <w:szCs w:val="24"/>
              </w:rPr>
              <w:t>)</w:t>
            </w:r>
          </w:p>
        </w:tc>
        <w:tc>
          <w:tcPr>
            <w:tcW w:w="574" w:type="pct"/>
          </w:tcPr>
          <w:p w:rsidR="000B5C03" w:rsidRPr="00E60BE4" w:rsidRDefault="000B5C03" w:rsidP="000B5C0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Omission of Regulation 5(ii)</w:t>
            </w:r>
          </w:p>
        </w:tc>
        <w:tc>
          <w:tcPr>
            <w:tcW w:w="1695" w:type="pct"/>
          </w:tcPr>
          <w:p w:rsidR="000B5C03" w:rsidRPr="00E60BE4" w:rsidRDefault="000B5C03" w:rsidP="00E60BE4">
            <w:pPr>
              <w:jc w:val="both"/>
              <w:rPr>
                <w:rFonts w:ascii="Bookman Old Style" w:eastAsia="Times New Roman" w:hAnsi="Bookman Old Style" w:cs="Arial"/>
                <w:sz w:val="24"/>
                <w:szCs w:val="24"/>
              </w:rPr>
            </w:pPr>
            <w:r w:rsidRPr="00E60BE4">
              <w:rPr>
                <w:rFonts w:ascii="Bookman Old Style" w:eastAsia="Times New Roman" w:hAnsi="Bookman Old Style" w:cs="Arial"/>
                <w:sz w:val="24"/>
                <w:szCs w:val="24"/>
              </w:rPr>
              <w:t>With regard to specific withdrawal of indemnity based health products offered by life insurers pursuant to the provisions of Regulation 3 (b) of these Regulations, the product shall be closed by giving a prospective date of closure not later than three months from the date of notification of these Regulations. For existing policyholders, the policy shall continue until the expiry of the respective policy term.</w:t>
            </w:r>
          </w:p>
        </w:tc>
        <w:tc>
          <w:tcPr>
            <w:tcW w:w="850" w:type="pct"/>
          </w:tcPr>
          <w:p w:rsidR="000B5C03" w:rsidRPr="00E60BE4" w:rsidRDefault="000B5C03" w:rsidP="003356DD">
            <w:pPr>
              <w:widowControl w:val="0"/>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Omitted</w:t>
            </w:r>
          </w:p>
        </w:tc>
        <w:tc>
          <w:tcPr>
            <w:tcW w:w="1211" w:type="pct"/>
          </w:tcPr>
          <w:p w:rsidR="000B5C03" w:rsidRPr="00E60BE4" w:rsidRDefault="00E8530F" w:rsidP="00E8530F">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shd w:val="clear" w:color="auto" w:fill="FFFFFF"/>
              </w:rPr>
              <w:t xml:space="preserve">As on date there are no </w:t>
            </w:r>
            <w:r w:rsidR="000B5C03" w:rsidRPr="00E60BE4">
              <w:rPr>
                <w:rFonts w:ascii="Bookman Old Style" w:hAnsi="Bookman Old Style" w:cs="Arial"/>
                <w:sz w:val="24"/>
                <w:szCs w:val="24"/>
                <w:shd w:val="clear" w:color="auto" w:fill="FFFFFF"/>
              </w:rPr>
              <w:t xml:space="preserve">indemnity based products </w:t>
            </w:r>
            <w:r>
              <w:rPr>
                <w:rFonts w:ascii="Bookman Old Style" w:hAnsi="Bookman Old Style" w:cs="Arial"/>
                <w:sz w:val="24"/>
                <w:szCs w:val="24"/>
                <w:shd w:val="clear" w:color="auto" w:fill="FFFFFF"/>
              </w:rPr>
              <w:t xml:space="preserve">offered </w:t>
            </w:r>
            <w:r w:rsidR="000B5C03" w:rsidRPr="00E60BE4">
              <w:rPr>
                <w:rFonts w:ascii="Bookman Old Style" w:hAnsi="Bookman Old Style" w:cs="Arial"/>
                <w:sz w:val="24"/>
                <w:szCs w:val="24"/>
                <w:shd w:val="clear" w:color="auto" w:fill="FFFFFF"/>
              </w:rPr>
              <w:t>by life insurers and hence, reference regarding withdrawal of these products is redundant.</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8</w:t>
            </w:r>
          </w:p>
        </w:tc>
        <w:tc>
          <w:tcPr>
            <w:tcW w:w="452" w:type="pct"/>
          </w:tcPr>
          <w:p w:rsidR="00D007B3" w:rsidRPr="00E60BE4" w:rsidRDefault="00D007B3" w:rsidP="00CB6D01">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A318E6">
              <w:rPr>
                <w:rFonts w:ascii="Bookman Old Style" w:hAnsi="Bookman Old Style" w:cs="Arial"/>
                <w:sz w:val="24"/>
                <w:szCs w:val="24"/>
              </w:rPr>
              <w:t>i</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E15FDD">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Regulation 7</w:t>
            </w:r>
          </w:p>
          <w:p w:rsidR="00D007B3" w:rsidRPr="00E60BE4" w:rsidRDefault="00D007B3" w:rsidP="00D007B3">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No Group Health Insurance Policy shall be issued by any Insurer where a Group is formed with the main purpose of availing itself of insurance. There shall be a clearly evident relationship as specified by the Authority from time to time between the members of the group and the group policyholder.  </w:t>
            </w:r>
          </w:p>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The Group shall have a size as determined by the Insurer which shall be applicable for all its group policies, subject to a minimum of 7, to be eligible for issuance of a Group Insurance Policy. Further, Insurer shall follow the </w:t>
            </w:r>
            <w:r w:rsidRPr="00E60BE4">
              <w:rPr>
                <w:rFonts w:ascii="Bookman Old Style" w:hAnsi="Bookman Old Style" w:cs="Arial"/>
                <w:sz w:val="24"/>
                <w:szCs w:val="24"/>
              </w:rPr>
              <w:lastRenderedPageBreak/>
              <w:t>Guidelines specified by the Authority on Group Insurance, from time to time.</w:t>
            </w: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lastRenderedPageBreak/>
              <w:t>“Insurers may offer group health products as per the guidelines as may be specified by the Authority from time to time.”</w:t>
            </w:r>
          </w:p>
          <w:p w:rsidR="00D007B3" w:rsidRPr="00E60BE4" w:rsidRDefault="00D007B3" w:rsidP="00D007B3">
            <w:pPr>
              <w:jc w:val="both"/>
              <w:rPr>
                <w:rFonts w:ascii="Bookman Old Style" w:hAnsi="Bookman Old Style" w:cs="Times New Roman"/>
                <w:sz w:val="24"/>
                <w:szCs w:val="24"/>
              </w:rPr>
            </w:pPr>
          </w:p>
        </w:tc>
        <w:tc>
          <w:tcPr>
            <w:tcW w:w="1211" w:type="pct"/>
          </w:tcPr>
          <w:p w:rsidR="00D007B3" w:rsidRPr="00E60BE4" w:rsidRDefault="00E8530F" w:rsidP="00D007B3">
            <w:pPr>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The norms referred in the existing regulatory provisions relate to operational aspects of the group business. </w:t>
            </w:r>
            <w:r w:rsidR="00D007B3" w:rsidRPr="00E60BE4">
              <w:rPr>
                <w:rFonts w:ascii="Bookman Old Style" w:hAnsi="Bookman Old Style"/>
                <w:sz w:val="24"/>
                <w:szCs w:val="24"/>
              </w:rPr>
              <w:t>Hard</w:t>
            </w:r>
            <w:r w:rsidR="00D84852">
              <w:rPr>
                <w:rFonts w:ascii="Bookman Old Style" w:hAnsi="Bookman Old Style"/>
                <w:sz w:val="24"/>
                <w:szCs w:val="24"/>
              </w:rPr>
              <w:t xml:space="preserve"> </w:t>
            </w:r>
            <w:r w:rsidR="00D007B3" w:rsidRPr="00E60BE4">
              <w:rPr>
                <w:rFonts w:ascii="Bookman Old Style" w:hAnsi="Bookman Old Style"/>
                <w:sz w:val="24"/>
                <w:szCs w:val="24"/>
              </w:rPr>
              <w:t xml:space="preserve">coding </w:t>
            </w:r>
            <w:r w:rsidR="00883D71">
              <w:rPr>
                <w:rFonts w:ascii="Bookman Old Style" w:hAnsi="Bookman Old Style"/>
                <w:sz w:val="24"/>
                <w:szCs w:val="24"/>
              </w:rPr>
              <w:t xml:space="preserve">these norms and the minimum </w:t>
            </w:r>
            <w:r>
              <w:rPr>
                <w:rFonts w:ascii="Bookman Old Style" w:hAnsi="Bookman Old Style"/>
                <w:sz w:val="24"/>
                <w:szCs w:val="24"/>
              </w:rPr>
              <w:t xml:space="preserve">number of lives to be covered in a group policy </w:t>
            </w:r>
            <w:r w:rsidR="00D007B3" w:rsidRPr="00E60BE4">
              <w:rPr>
                <w:rFonts w:ascii="Bookman Old Style" w:hAnsi="Bookman Old Style"/>
                <w:sz w:val="24"/>
                <w:szCs w:val="24"/>
              </w:rPr>
              <w:t xml:space="preserve">in regulations may not be required. </w:t>
            </w:r>
          </w:p>
          <w:p w:rsidR="00D007B3" w:rsidRPr="00E60BE4" w:rsidRDefault="00D007B3" w:rsidP="00D007B3">
            <w:pPr>
              <w:jc w:val="both"/>
              <w:rPr>
                <w:rFonts w:ascii="Bookman Old Style" w:hAnsi="Bookman Old Style" w:cs="Times New Roman"/>
                <w:sz w:val="24"/>
                <w:szCs w:val="24"/>
                <w:lang w:val="en-GB"/>
              </w:rPr>
            </w:pPr>
          </w:p>
          <w:p w:rsidR="00D007B3" w:rsidRPr="00E60BE4" w:rsidRDefault="00D007B3" w:rsidP="00D007B3">
            <w:pPr>
              <w:jc w:val="both"/>
              <w:rPr>
                <w:rFonts w:ascii="Bookman Old Style" w:hAnsi="Bookman Old Style" w:cs="Times New Roman"/>
                <w:b/>
                <w:sz w:val="24"/>
                <w:szCs w:val="24"/>
              </w:rPr>
            </w:pPr>
            <w:r w:rsidRPr="00E60BE4">
              <w:rPr>
                <w:rFonts w:ascii="Bookman Old Style" w:hAnsi="Bookman Old Style" w:cs="Times New Roman"/>
                <w:sz w:val="24"/>
                <w:szCs w:val="24"/>
                <w:lang w:val="en-GB"/>
              </w:rPr>
              <w:t xml:space="preserve">It is </w:t>
            </w:r>
            <w:r w:rsidR="00E8530F">
              <w:rPr>
                <w:rFonts w:ascii="Bookman Old Style" w:hAnsi="Bookman Old Style" w:cs="Times New Roman"/>
                <w:sz w:val="24"/>
                <w:szCs w:val="24"/>
                <w:lang w:val="en-GB"/>
              </w:rPr>
              <w:t xml:space="preserve">proposed </w:t>
            </w:r>
            <w:r w:rsidRPr="00E60BE4">
              <w:rPr>
                <w:rFonts w:ascii="Bookman Old Style" w:hAnsi="Bookman Old Style" w:cs="Times New Roman"/>
                <w:sz w:val="24"/>
                <w:szCs w:val="24"/>
                <w:lang w:val="en-GB"/>
              </w:rPr>
              <w:t>to specify the relevant provisions in the guidelines.</w:t>
            </w:r>
          </w:p>
          <w:p w:rsidR="00D007B3" w:rsidRPr="00E60BE4" w:rsidRDefault="00D007B3" w:rsidP="00D007B3">
            <w:pPr>
              <w:autoSpaceDE w:val="0"/>
              <w:autoSpaceDN w:val="0"/>
              <w:adjustRightInd w:val="0"/>
              <w:jc w:val="both"/>
              <w:rPr>
                <w:rFonts w:ascii="Bookman Old Style" w:hAnsi="Bookman Old Style" w:cs="Arial"/>
                <w:sz w:val="24"/>
                <w:szCs w:val="24"/>
              </w:rPr>
            </w:pPr>
          </w:p>
          <w:p w:rsidR="00D007B3" w:rsidRPr="00E60BE4" w:rsidRDefault="00D007B3" w:rsidP="00D007B3">
            <w:pPr>
              <w:autoSpaceDE w:val="0"/>
              <w:autoSpaceDN w:val="0"/>
              <w:adjustRightInd w:val="0"/>
              <w:jc w:val="both"/>
              <w:rPr>
                <w:rFonts w:ascii="Bookman Old Style" w:hAnsi="Bookman Old Style" w:cs="Arial"/>
                <w:sz w:val="24"/>
                <w:szCs w:val="24"/>
              </w:rPr>
            </w:pP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9</w:t>
            </w:r>
          </w:p>
        </w:tc>
        <w:tc>
          <w:tcPr>
            <w:tcW w:w="452" w:type="pct"/>
          </w:tcPr>
          <w:p w:rsidR="00D007B3" w:rsidRPr="00E60BE4" w:rsidRDefault="00D007B3" w:rsidP="00CB6D01">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A318E6">
              <w:rPr>
                <w:rFonts w:ascii="Bookman Old Style" w:hAnsi="Bookman Old Style" w:cs="Arial"/>
                <w:sz w:val="24"/>
                <w:szCs w:val="24"/>
              </w:rPr>
              <w:t>j</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8 (b)</w:t>
            </w:r>
          </w:p>
          <w:p w:rsidR="00D007B3" w:rsidRPr="00E60BE4" w:rsidRDefault="00D007B3" w:rsidP="00D007B3">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jc w:val="both"/>
              <w:rPr>
                <w:rFonts w:ascii="Bookman Old Style" w:eastAsia="Times New Roman" w:hAnsi="Bookman Old Style" w:cs="Arial"/>
                <w:sz w:val="24"/>
                <w:szCs w:val="24"/>
              </w:rPr>
            </w:pPr>
            <w:r w:rsidRPr="00E60BE4">
              <w:rPr>
                <w:rFonts w:ascii="Bookman Old Style" w:eastAsia="Times New Roman" w:hAnsi="Bookman Old Style" w:cs="Arial"/>
                <w:sz w:val="24"/>
                <w:szCs w:val="24"/>
              </w:rPr>
              <w:t>The underwriting policy shall also cover the approach and aspects relating to offering health insurance coverage not only to standard lives but also to sub-standard lives. It shall have in place various objective underwriting parameters   to differentiate the various classes of risks being accepted in accordance with the respective risk categorisation.</w:t>
            </w:r>
          </w:p>
          <w:p w:rsidR="00D007B3" w:rsidRPr="00E60BE4" w:rsidRDefault="00D007B3" w:rsidP="00D007B3">
            <w:pPr>
              <w:jc w:val="both"/>
              <w:rPr>
                <w:rFonts w:ascii="Bookman Old Style" w:hAnsi="Bookman Old Style" w:cs="Arial"/>
                <w:sz w:val="24"/>
                <w:szCs w:val="24"/>
              </w:rPr>
            </w:pPr>
          </w:p>
        </w:tc>
        <w:tc>
          <w:tcPr>
            <w:tcW w:w="850" w:type="pct"/>
          </w:tcPr>
          <w:p w:rsidR="00D007B3" w:rsidRPr="00E60BE4" w:rsidRDefault="00D007B3" w:rsidP="00A318E6">
            <w:pPr>
              <w:jc w:val="both"/>
              <w:rPr>
                <w:rFonts w:ascii="Bookman Old Style" w:eastAsia="Times New Roman" w:hAnsi="Bookman Old Style" w:cs="Arial"/>
                <w:sz w:val="24"/>
                <w:szCs w:val="24"/>
              </w:rPr>
            </w:pPr>
            <w:r w:rsidRPr="00E60BE4">
              <w:rPr>
                <w:rFonts w:ascii="Bookman Old Style" w:eastAsia="Times New Roman" w:hAnsi="Bookman Old Style" w:cs="Arial"/>
                <w:sz w:val="24"/>
                <w:szCs w:val="24"/>
              </w:rPr>
              <w:t xml:space="preserve">The underwriting policy shall also cover the approach and aspects relating to offering health insurance coverage not only to standard lives but also to </w:t>
            </w:r>
            <w:r w:rsidR="00A318E6">
              <w:rPr>
                <w:rFonts w:ascii="Bookman Old Style" w:eastAsia="Times New Roman" w:hAnsi="Bookman Old Style" w:cs="Arial"/>
                <w:sz w:val="24"/>
                <w:szCs w:val="24"/>
              </w:rPr>
              <w:t>“non-standard”</w:t>
            </w:r>
            <w:r w:rsidRPr="00E60BE4">
              <w:rPr>
                <w:rFonts w:ascii="Bookman Old Style" w:eastAsia="Times New Roman" w:hAnsi="Bookman Old Style" w:cs="Arial"/>
                <w:sz w:val="24"/>
                <w:szCs w:val="24"/>
              </w:rPr>
              <w:t xml:space="preserve"> lives. It shall have in place various objective underwriting parameters   to differentiate the various classes of risks being accepted in accordance with the respective risk categorisation.</w:t>
            </w:r>
          </w:p>
        </w:tc>
        <w:tc>
          <w:tcPr>
            <w:tcW w:w="1211" w:type="pct"/>
          </w:tcPr>
          <w:p w:rsidR="00D007B3" w:rsidRPr="00E60BE4" w:rsidRDefault="00D007B3" w:rsidP="00883D71">
            <w:pPr>
              <w:autoSpaceDE w:val="0"/>
              <w:autoSpaceDN w:val="0"/>
              <w:adjustRightInd w:val="0"/>
              <w:jc w:val="both"/>
              <w:rPr>
                <w:rFonts w:ascii="Bookman Old Style" w:hAnsi="Bookman Old Style" w:cs="Arial"/>
                <w:sz w:val="24"/>
                <w:szCs w:val="24"/>
              </w:rPr>
            </w:pPr>
            <w:r w:rsidRPr="00E60BE4">
              <w:rPr>
                <w:rFonts w:ascii="Bookman Old Style" w:hAnsi="Bookman Old Style" w:cs="Times New Roman"/>
                <w:sz w:val="24"/>
                <w:szCs w:val="24"/>
              </w:rPr>
              <w:t xml:space="preserve">The word ‘sub-standard’ is proposed to be replaced with the word </w:t>
            </w:r>
            <w:r w:rsidR="00A318E6">
              <w:rPr>
                <w:rFonts w:ascii="Bookman Old Style" w:eastAsia="Times New Roman" w:hAnsi="Bookman Old Style" w:cs="Arial"/>
                <w:sz w:val="24"/>
                <w:szCs w:val="24"/>
              </w:rPr>
              <w:t>“non-standard”</w:t>
            </w:r>
            <w:r w:rsidR="00D84852">
              <w:rPr>
                <w:rFonts w:ascii="Bookman Old Style" w:eastAsia="Times New Roman" w:hAnsi="Bookman Old Style" w:cs="Arial"/>
                <w:sz w:val="24"/>
                <w:szCs w:val="24"/>
              </w:rPr>
              <w:t xml:space="preserve"> </w:t>
            </w:r>
            <w:r w:rsidRPr="00E60BE4">
              <w:rPr>
                <w:rFonts w:ascii="Bookman Old Style" w:hAnsi="Bookman Old Style"/>
                <w:sz w:val="24"/>
                <w:szCs w:val="24"/>
              </w:rPr>
              <w:t xml:space="preserve">keeping </w:t>
            </w:r>
            <w:r w:rsidR="00883D71">
              <w:rPr>
                <w:rFonts w:ascii="Bookman Old Style" w:hAnsi="Bookman Old Style"/>
                <w:sz w:val="24"/>
                <w:szCs w:val="24"/>
              </w:rPr>
              <w:t xml:space="preserve">in view </w:t>
            </w:r>
            <w:r w:rsidRPr="00E60BE4">
              <w:rPr>
                <w:rFonts w:ascii="Bookman Old Style" w:hAnsi="Bookman Old Style"/>
                <w:sz w:val="24"/>
                <w:szCs w:val="24"/>
              </w:rPr>
              <w:t>the sensitivities of persons affected with diseases/disabilities.</w:t>
            </w:r>
          </w:p>
        </w:tc>
      </w:tr>
      <w:tr w:rsidR="00D007B3" w:rsidRPr="00E60BE4" w:rsidTr="009C0354">
        <w:tc>
          <w:tcPr>
            <w:tcW w:w="219" w:type="pct"/>
          </w:tcPr>
          <w:p w:rsidR="00D007B3" w:rsidRPr="00E60BE4" w:rsidRDefault="00CB6D01"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1</w:t>
            </w:r>
            <w:r w:rsidR="00A318E6">
              <w:rPr>
                <w:rFonts w:ascii="Bookman Old Style" w:hAnsi="Bookman Old Style" w:cs="Arial"/>
                <w:sz w:val="24"/>
                <w:szCs w:val="24"/>
              </w:rPr>
              <w:t>0</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A318E6">
              <w:rPr>
                <w:rFonts w:ascii="Bookman Old Style" w:hAnsi="Bookman Old Style" w:cs="Arial"/>
                <w:sz w:val="24"/>
                <w:szCs w:val="24"/>
              </w:rPr>
              <w:t>k</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8 (d)</w:t>
            </w:r>
          </w:p>
          <w:p w:rsidR="00D007B3" w:rsidRPr="00E60BE4" w:rsidRDefault="00D007B3" w:rsidP="00D007B3">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eastAsia="Times New Roman" w:hAnsi="Bookman Old Style" w:cs="Arial"/>
                <w:sz w:val="24"/>
                <w:szCs w:val="24"/>
              </w:rPr>
              <w:t xml:space="preserve">General Insurers and Health Insurers may devise mechanisms or incentives to reward policyholders for early entry, continued renewals (wherever applicable), favourable claims experience, preventive and wellness habits and disclose upfront such mechanism or incentives in the </w:t>
            </w:r>
            <w:r w:rsidRPr="00E60BE4">
              <w:rPr>
                <w:rFonts w:ascii="Bookman Old Style" w:eastAsia="Times New Roman" w:hAnsi="Bookman Old Style" w:cs="Arial"/>
                <w:sz w:val="24"/>
                <w:szCs w:val="24"/>
              </w:rPr>
              <w:lastRenderedPageBreak/>
              <w:t>prospectus and the policy document, by complying with the norms specified under Product Filing Procedure Guidelines. Provided that what is proposed to be covered as part of wellness habits and preventive habits be clearly defined in each and every product.</w:t>
            </w:r>
          </w:p>
        </w:tc>
        <w:tc>
          <w:tcPr>
            <w:tcW w:w="850" w:type="pct"/>
          </w:tcPr>
          <w:p w:rsidR="00D007B3" w:rsidRPr="00E60BE4" w:rsidRDefault="00D007B3" w:rsidP="00D007B3">
            <w:pPr>
              <w:jc w:val="both"/>
              <w:rPr>
                <w:rFonts w:ascii="Bookman Old Style" w:hAnsi="Bookman Old Style" w:cs="Times New Roman"/>
                <w:sz w:val="24"/>
                <w:szCs w:val="24"/>
              </w:rPr>
            </w:pPr>
            <w:r w:rsidRPr="00E60BE4">
              <w:rPr>
                <w:rFonts w:ascii="Bookman Old Style" w:eastAsia="Times New Roman" w:hAnsi="Bookman Old Style" w:cs="Arial"/>
                <w:sz w:val="24"/>
                <w:szCs w:val="24"/>
              </w:rPr>
              <w:lastRenderedPageBreak/>
              <w:t xml:space="preserve">Insurers may devise mechanisms or incentives to reward policyholders for early entry, continued </w:t>
            </w:r>
            <w:r w:rsidRPr="00E60BE4">
              <w:rPr>
                <w:rFonts w:ascii="Bookman Old Style" w:eastAsia="Times New Roman" w:hAnsi="Bookman Old Style" w:cs="Arial"/>
                <w:sz w:val="24"/>
                <w:szCs w:val="24"/>
              </w:rPr>
              <w:lastRenderedPageBreak/>
              <w:t>renewals (wherever applicable), favourable claims experience, preventive and wellness habits and disclose upfront such mechanism or incentives in the prospectus and the policy document, by complying with the norms specified under Product Filing Procedure Guidelines. Provided that what is proposed to be covered as part of wellness habits and preventive habits be clearly defined in each and every product.</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Times New Roman"/>
                <w:sz w:val="24"/>
                <w:szCs w:val="24"/>
              </w:rPr>
              <w:lastRenderedPageBreak/>
              <w:t xml:space="preserve">The words ‘General Insurers and Health Insurers’ are proposed to be replaced with the word ‘Insurers’ to encourage life insurers also to incentivize policyholders </w:t>
            </w:r>
            <w:r w:rsidRPr="00E60BE4">
              <w:rPr>
                <w:rFonts w:ascii="Bookman Old Style" w:eastAsia="Times New Roman" w:hAnsi="Bookman Old Style" w:cs="Arial"/>
                <w:sz w:val="24"/>
                <w:szCs w:val="24"/>
              </w:rPr>
              <w:t xml:space="preserve">for early entry, continued renewals (wherever </w:t>
            </w:r>
            <w:r w:rsidRPr="00E60BE4">
              <w:rPr>
                <w:rFonts w:ascii="Bookman Old Style" w:eastAsia="Times New Roman" w:hAnsi="Bookman Old Style" w:cs="Arial"/>
                <w:sz w:val="24"/>
                <w:szCs w:val="24"/>
              </w:rPr>
              <w:lastRenderedPageBreak/>
              <w:t>applicable), favourable claims experience, preventive and wellness habits etc,</w:t>
            </w:r>
            <w:r w:rsidR="00883D71">
              <w:rPr>
                <w:rFonts w:ascii="Bookman Old Style" w:eastAsia="Times New Roman" w:hAnsi="Bookman Old Style" w:cs="Arial"/>
                <w:sz w:val="24"/>
                <w:szCs w:val="24"/>
              </w:rPr>
              <w:t xml:space="preserve"> </w:t>
            </w:r>
            <w:r w:rsidRPr="00E60BE4">
              <w:rPr>
                <w:rFonts w:ascii="Bookman Old Style" w:eastAsia="Times New Roman" w:hAnsi="Bookman Old Style" w:cs="Arial"/>
                <w:sz w:val="24"/>
                <w:szCs w:val="24"/>
              </w:rPr>
              <w:t>as applicable</w:t>
            </w:r>
          </w:p>
        </w:tc>
      </w:tr>
      <w:tr w:rsidR="00D007B3" w:rsidRPr="00E60BE4" w:rsidTr="009C0354">
        <w:tc>
          <w:tcPr>
            <w:tcW w:w="219" w:type="pct"/>
          </w:tcPr>
          <w:p w:rsidR="00D007B3" w:rsidRPr="00E60BE4" w:rsidRDefault="00CB6D01" w:rsidP="00CB6D01">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lastRenderedPageBreak/>
              <w:t>1</w:t>
            </w:r>
            <w:r w:rsidR="00A318E6">
              <w:rPr>
                <w:rFonts w:ascii="Bookman Old Style" w:hAnsi="Bookman Old Style" w:cs="Arial"/>
                <w:sz w:val="24"/>
                <w:szCs w:val="24"/>
              </w:rPr>
              <w:t>1</w:t>
            </w:r>
          </w:p>
        </w:tc>
        <w:tc>
          <w:tcPr>
            <w:tcW w:w="452" w:type="pct"/>
          </w:tcPr>
          <w:p w:rsidR="00D007B3" w:rsidRPr="00E60BE4" w:rsidRDefault="00D007B3" w:rsidP="00A318E6">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A318E6">
              <w:rPr>
                <w:rFonts w:ascii="Bookman Old Style" w:hAnsi="Bookman Old Style" w:cs="Arial"/>
                <w:sz w:val="24"/>
                <w:szCs w:val="24"/>
              </w:rPr>
              <w:t>l</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Omission of Regulation 9 (</w:t>
            </w:r>
            <w:r w:rsidR="00CB6D01" w:rsidRPr="00E60BE4">
              <w:rPr>
                <w:rFonts w:ascii="Bookman Old Style" w:hAnsi="Bookman Old Style" w:cs="Arial"/>
                <w:sz w:val="24"/>
                <w:szCs w:val="24"/>
              </w:rPr>
              <w:t>a</w:t>
            </w:r>
            <w:r w:rsidRPr="00E60BE4">
              <w:rPr>
                <w:rFonts w:ascii="Bookman Old Style" w:hAnsi="Bookman Old Style" w:cs="Arial"/>
                <w:sz w:val="24"/>
                <w:szCs w:val="24"/>
              </w:rPr>
              <w:t>)</w:t>
            </w:r>
          </w:p>
        </w:tc>
        <w:tc>
          <w:tcPr>
            <w:tcW w:w="1695" w:type="pct"/>
          </w:tcPr>
          <w:p w:rsidR="00D007B3" w:rsidRPr="00E60BE4" w:rsidRDefault="00D007B3" w:rsidP="00D007B3">
            <w:pPr>
              <w:jc w:val="both"/>
              <w:rPr>
                <w:rFonts w:ascii="Bookman Old Style" w:hAnsi="Bookman Old Style" w:cs="Arial"/>
                <w:b/>
                <w:sz w:val="24"/>
                <w:szCs w:val="24"/>
              </w:rPr>
            </w:pPr>
            <w:r w:rsidRPr="00E60BE4">
              <w:rPr>
                <w:rFonts w:ascii="Bookman Old Style" w:eastAsia="Times New Roman" w:hAnsi="Bookman Old Style" w:cs="Arial"/>
                <w:sz w:val="24"/>
                <w:szCs w:val="24"/>
              </w:rPr>
              <w:t xml:space="preserve">Every Life Insurer, General Insurer and Health Insurer shall devise a proposal form to be submitted by a proposer seeking a health insurance policy. Such form should capture all the information </w:t>
            </w:r>
            <w:r w:rsidRPr="00E60BE4">
              <w:rPr>
                <w:rFonts w:ascii="Bookman Old Style" w:eastAsia="Times New Roman" w:hAnsi="Bookman Old Style" w:cs="Arial"/>
                <w:sz w:val="24"/>
                <w:szCs w:val="24"/>
              </w:rPr>
              <w:lastRenderedPageBreak/>
              <w:t xml:space="preserve">necessary to underwrite a proposal in accordance with the stated Underwriting Policy of the Company. </w:t>
            </w: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lastRenderedPageBreak/>
              <w:t>Omitted</w:t>
            </w:r>
          </w:p>
          <w:p w:rsidR="00D007B3" w:rsidRPr="00E60BE4" w:rsidRDefault="00D007B3" w:rsidP="00D007B3">
            <w:pPr>
              <w:jc w:val="both"/>
              <w:rPr>
                <w:rFonts w:ascii="Bookman Old Style" w:hAnsi="Bookman Old Style" w:cs="Times New Roman"/>
                <w:sz w:val="24"/>
                <w:szCs w:val="24"/>
              </w:rPr>
            </w:pP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Norms on proposal form are already specified in Regulation 8 of IRDAI (Protection of Policyholders’ Interests) Regulations, </w:t>
            </w:r>
            <w:r w:rsidRPr="00E60BE4">
              <w:rPr>
                <w:rFonts w:ascii="Bookman Old Style" w:hAnsi="Bookman Old Style" w:cs="Arial"/>
                <w:sz w:val="24"/>
                <w:szCs w:val="24"/>
              </w:rPr>
              <w:lastRenderedPageBreak/>
              <w:t>2017. Hence, Regulation 9 (i) is proposed to be omitted.</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1</w:t>
            </w:r>
            <w:r w:rsidR="008D51C0">
              <w:rPr>
                <w:rFonts w:ascii="Bookman Old Style" w:hAnsi="Bookman Old Style" w:cs="Arial"/>
                <w:sz w:val="24"/>
                <w:szCs w:val="24"/>
              </w:rPr>
              <w:t>2</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m</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12</w:t>
            </w:r>
            <w:r w:rsidR="007E3122" w:rsidRPr="00E60BE4">
              <w:rPr>
                <w:rFonts w:ascii="Bookman Old Style" w:hAnsi="Bookman Old Style" w:cs="Arial"/>
                <w:sz w:val="24"/>
                <w:szCs w:val="24"/>
              </w:rPr>
              <w:t>(ii)</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b/>
                <w:sz w:val="24"/>
                <w:szCs w:val="24"/>
              </w:rPr>
            </w:pPr>
            <w:r w:rsidRPr="00E60BE4">
              <w:rPr>
                <w:rFonts w:ascii="Bookman Old Style" w:hAnsi="Bookman Old Style" w:cs="Arial"/>
                <w:sz w:val="24"/>
                <w:szCs w:val="24"/>
              </w:rPr>
              <w:t xml:space="preserve">Except travel insurance products, personal accident products and Pilot Products referred to in Regulation 2(i) (l) herein, </w:t>
            </w:r>
            <w:r w:rsidRPr="00E60BE4">
              <w:rPr>
                <w:rFonts w:ascii="Bookman Old Style" w:eastAsia="Times New Roman" w:hAnsi="Bookman Old Style" w:cs="Arial"/>
                <w:sz w:val="24"/>
                <w:szCs w:val="24"/>
              </w:rPr>
              <w:t xml:space="preserve">once a proposal is accepted and a policy is issued which is thereafter renewed periodically without any break, further renewal shall not be denied on grounds of the age of the insured. </w:t>
            </w:r>
          </w:p>
          <w:p w:rsidR="00D007B3" w:rsidRPr="00E60BE4" w:rsidRDefault="00D007B3" w:rsidP="00D007B3">
            <w:pPr>
              <w:jc w:val="both"/>
              <w:rPr>
                <w:rFonts w:ascii="Bookman Old Style" w:hAnsi="Bookman Old Style" w:cs="Arial"/>
                <w:sz w:val="24"/>
                <w:szCs w:val="24"/>
              </w:rPr>
            </w:pPr>
          </w:p>
        </w:tc>
        <w:tc>
          <w:tcPr>
            <w:tcW w:w="850" w:type="pct"/>
          </w:tcPr>
          <w:p w:rsidR="00D007B3" w:rsidRPr="00E60BE4" w:rsidRDefault="00D007B3" w:rsidP="00D007B3">
            <w:pPr>
              <w:jc w:val="both"/>
              <w:rPr>
                <w:rFonts w:ascii="Bookman Old Style" w:hAnsi="Bookman Old Style" w:cs="Times New Roman"/>
                <w:b/>
                <w:sz w:val="24"/>
                <w:szCs w:val="24"/>
              </w:rPr>
            </w:pPr>
            <w:r w:rsidRPr="00E60BE4">
              <w:rPr>
                <w:rFonts w:ascii="Bookman Old Style" w:hAnsi="Bookman Old Style" w:cs="Times New Roman"/>
                <w:sz w:val="24"/>
                <w:szCs w:val="24"/>
              </w:rPr>
              <w:t xml:space="preserve">“Except travel insurance products and Pilot Products referred to in Regulation 2(i) (l) herein, </w:t>
            </w:r>
            <w:r w:rsidRPr="00E60BE4">
              <w:rPr>
                <w:rFonts w:ascii="Bookman Old Style" w:eastAsia="Times New Roman" w:hAnsi="Bookman Old Style" w:cs="Times New Roman"/>
                <w:sz w:val="24"/>
                <w:szCs w:val="24"/>
              </w:rPr>
              <w:t>once a proposal is accepted and a policy is issued which is thereafter renewed periodically without any break, further renewal shall not be denied on grounds of the age of the insured”</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Personal Accident products are also proposed to be brought under the ambit of lifelong renewability in the interest of the policyholders.</w:t>
            </w:r>
          </w:p>
        </w:tc>
      </w:tr>
      <w:tr w:rsidR="00D007B3" w:rsidRPr="00E60BE4" w:rsidTr="009C0354">
        <w:tc>
          <w:tcPr>
            <w:tcW w:w="219" w:type="pct"/>
          </w:tcPr>
          <w:p w:rsidR="00D007B3" w:rsidRPr="00E60BE4" w:rsidRDefault="00A318E6" w:rsidP="00A318E6">
            <w:pPr>
              <w:autoSpaceDE w:val="0"/>
              <w:autoSpaceDN w:val="0"/>
              <w:adjustRightInd w:val="0"/>
              <w:rPr>
                <w:rFonts w:ascii="Bookman Old Style" w:hAnsi="Bookman Old Style" w:cs="Arial"/>
                <w:sz w:val="24"/>
                <w:szCs w:val="24"/>
              </w:rPr>
            </w:pPr>
            <w:r>
              <w:rPr>
                <w:rFonts w:ascii="Bookman Old Style" w:hAnsi="Bookman Old Style" w:cs="Arial"/>
                <w:sz w:val="24"/>
                <w:szCs w:val="24"/>
              </w:rPr>
              <w:t>1</w:t>
            </w:r>
            <w:r w:rsidR="008D51C0">
              <w:rPr>
                <w:rFonts w:ascii="Bookman Old Style" w:hAnsi="Bookman Old Style" w:cs="Arial"/>
                <w:sz w:val="24"/>
                <w:szCs w:val="24"/>
              </w:rPr>
              <w:t>3</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n</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 xml:space="preserve">Modification </w:t>
            </w:r>
            <w:proofErr w:type="gramStart"/>
            <w:r w:rsidRPr="00E60BE4">
              <w:rPr>
                <w:rFonts w:ascii="Bookman Old Style" w:hAnsi="Bookman Old Style" w:cs="Arial"/>
                <w:sz w:val="24"/>
                <w:szCs w:val="24"/>
              </w:rPr>
              <w:t>of  Heading</w:t>
            </w:r>
            <w:proofErr w:type="gramEnd"/>
            <w:r w:rsidRPr="00E60BE4">
              <w:rPr>
                <w:rFonts w:ascii="Bookman Old Style" w:hAnsi="Bookman Old Style" w:cs="Arial"/>
                <w:sz w:val="24"/>
                <w:szCs w:val="24"/>
              </w:rPr>
              <w:t xml:space="preserve"> of Regulation 13</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bCs/>
                <w:sz w:val="24"/>
                <w:szCs w:val="24"/>
              </w:rPr>
            </w:pPr>
            <w:r w:rsidRPr="00E60BE4">
              <w:rPr>
                <w:rFonts w:ascii="Bookman Old Style" w:hAnsi="Bookman Old Style" w:cs="Arial"/>
                <w:bCs/>
                <w:sz w:val="24"/>
                <w:szCs w:val="24"/>
              </w:rPr>
              <w:t>Renewal of Health Policies issued by General Insurers and Health Insurers (not applicable for travel and personal accident policies)</w:t>
            </w:r>
          </w:p>
          <w:p w:rsidR="00D007B3" w:rsidRPr="00E60BE4" w:rsidRDefault="00D007B3" w:rsidP="00D007B3">
            <w:pPr>
              <w:jc w:val="both"/>
              <w:rPr>
                <w:rFonts w:ascii="Bookman Old Style" w:hAnsi="Bookman Old Style" w:cs="Arial"/>
                <w:bCs/>
                <w:sz w:val="24"/>
                <w:szCs w:val="24"/>
              </w:rPr>
            </w:pPr>
          </w:p>
        </w:tc>
        <w:tc>
          <w:tcPr>
            <w:tcW w:w="850" w:type="pct"/>
          </w:tcPr>
          <w:p w:rsidR="00D007B3" w:rsidRPr="00E60BE4" w:rsidRDefault="00D007B3" w:rsidP="00D007B3">
            <w:pPr>
              <w:jc w:val="both"/>
              <w:rPr>
                <w:rFonts w:ascii="Bookman Old Style" w:hAnsi="Bookman Old Style" w:cs="Arial"/>
                <w:bCs/>
                <w:sz w:val="24"/>
                <w:szCs w:val="24"/>
              </w:rPr>
            </w:pPr>
            <w:r w:rsidRPr="00E60BE4">
              <w:rPr>
                <w:rFonts w:ascii="Bookman Old Style" w:hAnsi="Bookman Old Style" w:cs="Arial"/>
                <w:bCs/>
                <w:sz w:val="24"/>
                <w:szCs w:val="24"/>
              </w:rPr>
              <w:t>Renewal of Health Policies issued by General Insurers and Health Insurers (not applicable for travel policies)</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Same as above</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1</w:t>
            </w:r>
            <w:r w:rsidR="008D51C0">
              <w:rPr>
                <w:rFonts w:ascii="Bookman Old Style" w:hAnsi="Bookman Old Style" w:cs="Arial"/>
                <w:sz w:val="24"/>
                <w:szCs w:val="24"/>
              </w:rPr>
              <w:t>4</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o</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 xml:space="preserve">Omission of Regulation 15 </w:t>
            </w:r>
          </w:p>
        </w:tc>
        <w:tc>
          <w:tcPr>
            <w:tcW w:w="1695" w:type="pct"/>
          </w:tcPr>
          <w:p w:rsidR="00D007B3" w:rsidRPr="00E60BE4" w:rsidRDefault="00D007B3" w:rsidP="00D007B3">
            <w:pPr>
              <w:jc w:val="both"/>
              <w:rPr>
                <w:rFonts w:ascii="Bookman Old Style" w:eastAsia="Times New Roman" w:hAnsi="Bookman Old Style" w:cs="Arial"/>
                <w:b/>
                <w:sz w:val="24"/>
                <w:szCs w:val="24"/>
              </w:rPr>
            </w:pPr>
            <w:r w:rsidRPr="00E60BE4">
              <w:rPr>
                <w:rFonts w:ascii="Bookman Old Style" w:eastAsia="Times New Roman" w:hAnsi="Bookman Old Style" w:cs="Arial"/>
                <w:sz w:val="24"/>
                <w:szCs w:val="24"/>
              </w:rPr>
              <w:t>i.</w:t>
            </w:r>
            <w:r w:rsidR="00883D71">
              <w:rPr>
                <w:rFonts w:ascii="Bookman Old Style" w:eastAsia="Times New Roman" w:hAnsi="Bookman Old Style" w:cs="Arial"/>
                <w:sz w:val="24"/>
                <w:szCs w:val="24"/>
              </w:rPr>
              <w:t xml:space="preserve"> </w:t>
            </w:r>
            <w:r w:rsidRPr="00E60BE4">
              <w:rPr>
                <w:rFonts w:ascii="Bookman Old Style" w:eastAsia="Times New Roman" w:hAnsi="Bookman Old Style" w:cs="Arial"/>
                <w:sz w:val="24"/>
                <w:szCs w:val="24"/>
              </w:rPr>
              <w:t xml:space="preserve">The cost of any pre-insurance medical examination shall generally form part of the expenses allowed in arriving at the premium. However, in case of products </w:t>
            </w:r>
            <w:r w:rsidRPr="00E60BE4">
              <w:rPr>
                <w:rFonts w:ascii="Bookman Old Style" w:eastAsia="Times New Roman" w:hAnsi="Bookman Old Style" w:cs="Arial"/>
                <w:sz w:val="24"/>
                <w:szCs w:val="24"/>
              </w:rPr>
              <w:lastRenderedPageBreak/>
              <w:t>with term of one year and less, if such cost is to be incurred by the insured, not less than 50% of such cost shall be borne by the insurer once the proposal is accepted, except in travel insurance policies.</w:t>
            </w:r>
          </w:p>
          <w:p w:rsidR="00D007B3" w:rsidRPr="00E60BE4" w:rsidRDefault="00D007B3" w:rsidP="00D007B3">
            <w:pPr>
              <w:jc w:val="both"/>
              <w:rPr>
                <w:rFonts w:ascii="Bookman Old Style" w:eastAsia="Times New Roman" w:hAnsi="Bookman Old Style" w:cs="Arial"/>
                <w:b/>
                <w:sz w:val="24"/>
                <w:szCs w:val="24"/>
              </w:rPr>
            </w:pPr>
            <w:proofErr w:type="spellStart"/>
            <w:r w:rsidRPr="00E60BE4">
              <w:rPr>
                <w:rFonts w:ascii="Bookman Old Style" w:hAnsi="Bookman Old Style" w:cs="Arial"/>
                <w:sz w:val="24"/>
                <w:szCs w:val="24"/>
              </w:rPr>
              <w:t>ii.I</w:t>
            </w:r>
            <w:r w:rsidRPr="00E60BE4">
              <w:rPr>
                <w:rFonts w:ascii="Bookman Old Style" w:eastAsia="Times New Roman" w:hAnsi="Bookman Old Style" w:cs="Arial"/>
                <w:sz w:val="24"/>
                <w:szCs w:val="24"/>
              </w:rPr>
              <w:t>nsurers</w:t>
            </w:r>
            <w:proofErr w:type="spellEnd"/>
            <w:r w:rsidRPr="00E60BE4">
              <w:rPr>
                <w:rFonts w:ascii="Bookman Old Style" w:eastAsia="Times New Roman" w:hAnsi="Bookman Old Style" w:cs="Arial"/>
                <w:sz w:val="24"/>
                <w:szCs w:val="24"/>
              </w:rPr>
              <w:t xml:space="preserve"> shall maintain a list of medical examiners and institutions where such pre-insurance medical examination may be conducted whose reports will be accepted by them. Details of fee payable shall be made available to the prospective policyholder at the time of pre-insurance medical examination on demand.</w:t>
            </w: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lastRenderedPageBreak/>
              <w:t>Omitted</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These are operational matters, hence considered to be left to the insurers to decide.</w:t>
            </w:r>
          </w:p>
        </w:tc>
      </w:tr>
      <w:tr w:rsidR="00D007B3" w:rsidRPr="00E60BE4" w:rsidTr="009C0354">
        <w:tc>
          <w:tcPr>
            <w:tcW w:w="219" w:type="pct"/>
          </w:tcPr>
          <w:p w:rsidR="00D007B3" w:rsidRPr="00E60BE4" w:rsidRDefault="00A318E6"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1</w:t>
            </w:r>
            <w:r w:rsidR="008D51C0">
              <w:rPr>
                <w:rFonts w:ascii="Bookman Old Style" w:hAnsi="Bookman Old Style" w:cs="Arial"/>
                <w:sz w:val="24"/>
                <w:szCs w:val="24"/>
              </w:rPr>
              <w:t>5</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p</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Heading of Regulation 25</w:t>
            </w:r>
          </w:p>
        </w:tc>
        <w:tc>
          <w:tcPr>
            <w:tcW w:w="1695" w:type="pct"/>
          </w:tcPr>
          <w:p w:rsidR="00D007B3" w:rsidRPr="00E60BE4" w:rsidRDefault="00D007B3" w:rsidP="009C6D81">
            <w:pPr>
              <w:pStyle w:val="PlainText"/>
              <w:jc w:val="both"/>
              <w:rPr>
                <w:rFonts w:ascii="Bookman Old Style" w:hAnsi="Bookman Old Style" w:cs="Times New Roman"/>
                <w:bCs/>
                <w:sz w:val="24"/>
                <w:szCs w:val="24"/>
              </w:rPr>
            </w:pPr>
            <w:r w:rsidRPr="00E60BE4">
              <w:rPr>
                <w:rFonts w:ascii="Bookman Old Style" w:hAnsi="Bookman Old Style" w:cs="Times New Roman"/>
                <w:bCs/>
                <w:sz w:val="24"/>
                <w:szCs w:val="24"/>
              </w:rPr>
              <w:t>“Loadings on Renewals”</w:t>
            </w:r>
          </w:p>
          <w:p w:rsidR="00D007B3" w:rsidRPr="00E60BE4" w:rsidRDefault="00D007B3" w:rsidP="00D007B3">
            <w:pPr>
              <w:widowControl w:val="0"/>
              <w:overflowPunct w:val="0"/>
              <w:autoSpaceDE w:val="0"/>
              <w:autoSpaceDN w:val="0"/>
              <w:adjustRightInd w:val="0"/>
              <w:jc w:val="both"/>
              <w:rPr>
                <w:rFonts w:ascii="Bookman Old Style" w:hAnsi="Bookman Old Style" w:cs="Arial"/>
                <w:bCs/>
                <w:sz w:val="24"/>
                <w:szCs w:val="24"/>
                <w:lang w:val="en-GB"/>
              </w:rPr>
            </w:pPr>
          </w:p>
        </w:tc>
        <w:tc>
          <w:tcPr>
            <w:tcW w:w="850" w:type="pct"/>
          </w:tcPr>
          <w:p w:rsidR="00D007B3" w:rsidRPr="00E60BE4" w:rsidRDefault="00D007B3" w:rsidP="00D007B3">
            <w:pPr>
              <w:pStyle w:val="PlainText"/>
              <w:jc w:val="both"/>
              <w:rPr>
                <w:rFonts w:ascii="Bookman Old Style" w:hAnsi="Bookman Old Style" w:cs="Times New Roman"/>
                <w:bCs/>
                <w:sz w:val="24"/>
                <w:szCs w:val="24"/>
              </w:rPr>
            </w:pPr>
            <w:r w:rsidRPr="00E60BE4">
              <w:rPr>
                <w:rFonts w:ascii="Bookman Old Style" w:hAnsi="Bookman Old Style" w:cs="Times New Roman"/>
                <w:bCs/>
                <w:sz w:val="24"/>
                <w:szCs w:val="24"/>
              </w:rPr>
              <w:t>“Discount and Loadings”</w:t>
            </w:r>
          </w:p>
          <w:p w:rsidR="00D007B3" w:rsidRPr="00E60BE4" w:rsidRDefault="00D007B3" w:rsidP="00D007B3">
            <w:pPr>
              <w:pStyle w:val="PlainText"/>
              <w:jc w:val="both"/>
              <w:rPr>
                <w:rFonts w:ascii="Bookman Old Style" w:hAnsi="Bookman Old Style" w:cs="Times New Roman"/>
                <w:sz w:val="24"/>
                <w:szCs w:val="24"/>
              </w:rPr>
            </w:pP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Heading modified to </w:t>
            </w:r>
            <w:r w:rsidR="00883D71">
              <w:rPr>
                <w:rFonts w:ascii="Bookman Old Style" w:hAnsi="Bookman Old Style" w:cs="Arial"/>
                <w:sz w:val="24"/>
                <w:szCs w:val="24"/>
              </w:rPr>
              <w:t xml:space="preserve">also </w:t>
            </w:r>
            <w:r w:rsidRPr="00E60BE4">
              <w:rPr>
                <w:rFonts w:ascii="Bookman Old Style" w:hAnsi="Bookman Old Style" w:cs="Arial"/>
                <w:sz w:val="24"/>
                <w:szCs w:val="24"/>
              </w:rPr>
              <w:t>cover the discount aspect</w:t>
            </w:r>
            <w:r w:rsidR="00883D71">
              <w:rPr>
                <w:rFonts w:ascii="Bookman Old Style" w:hAnsi="Bookman Old Style" w:cs="Arial"/>
                <w:sz w:val="24"/>
                <w:szCs w:val="24"/>
              </w:rPr>
              <w:t>s</w:t>
            </w:r>
            <w:r w:rsidRPr="00E60BE4">
              <w:rPr>
                <w:rFonts w:ascii="Bookman Old Style" w:hAnsi="Bookman Old Style" w:cs="Arial"/>
                <w:sz w:val="24"/>
                <w:szCs w:val="24"/>
              </w:rPr>
              <w:t xml:space="preserve"> covered in the Regulation.</w:t>
            </w:r>
          </w:p>
        </w:tc>
      </w:tr>
      <w:tr w:rsidR="00D007B3" w:rsidRPr="00E60BE4" w:rsidTr="009C0354">
        <w:tc>
          <w:tcPr>
            <w:tcW w:w="219" w:type="pct"/>
          </w:tcPr>
          <w:p w:rsidR="00D007B3"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1</w:t>
            </w:r>
            <w:r w:rsidR="008D51C0">
              <w:rPr>
                <w:rFonts w:ascii="Bookman Old Style" w:hAnsi="Bookman Old Style" w:cs="Arial"/>
                <w:sz w:val="24"/>
                <w:szCs w:val="24"/>
              </w:rPr>
              <w:t>6</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q</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25 (i)</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eastAsia="Times New Roman" w:hAnsi="Bookman Old Style" w:cs="Arial"/>
                <w:sz w:val="24"/>
                <w:szCs w:val="24"/>
              </w:rPr>
            </w:pPr>
            <w:r w:rsidRPr="00E60BE4">
              <w:rPr>
                <w:rFonts w:ascii="Bookman Old Style" w:hAnsi="Bookman Old Style" w:cs="Arial"/>
                <w:sz w:val="24"/>
                <w:szCs w:val="24"/>
              </w:rPr>
              <w:t>For Individual products, the loadings on renewal shall be in terms of increase or decrease in premiums offered for the entire portfolio and shall not be based on any individual policy claim experience.</w:t>
            </w: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t>For Individual products, the loadings on renewal shall be offered for the entire portfolio and shall not be based on any individual policy claim experience”</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Reference to the word ‘decrease’ when speaking about ‘loadings’ is not relevant. Hence, the Regulation is proposed to be modified to correct the expression.</w:t>
            </w:r>
          </w:p>
        </w:tc>
      </w:tr>
      <w:tr w:rsidR="00D007B3" w:rsidRPr="00E60BE4" w:rsidTr="009C0354">
        <w:tc>
          <w:tcPr>
            <w:tcW w:w="219" w:type="pct"/>
          </w:tcPr>
          <w:p w:rsidR="00D007B3"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1</w:t>
            </w:r>
            <w:r w:rsidR="008D51C0">
              <w:rPr>
                <w:rFonts w:ascii="Bookman Old Style" w:hAnsi="Bookman Old Style" w:cs="Arial"/>
                <w:sz w:val="24"/>
                <w:szCs w:val="24"/>
              </w:rPr>
              <w:t>7</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r</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25 (iii)</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No Insurer shall resort to fresh underwriting by calling for medical examination, fresh proposal form etc. at renewal stage where there is no change in Sum Insured offered. Provided that where there is an improvement in the risk profile, the Insurer may endeavour to recognise that for removal of loadings at the point of renewal. </w:t>
            </w:r>
          </w:p>
          <w:p w:rsidR="00D007B3" w:rsidRPr="00E60BE4" w:rsidRDefault="00D007B3" w:rsidP="00D007B3">
            <w:pPr>
              <w:widowControl w:val="0"/>
              <w:overflowPunct w:val="0"/>
              <w:autoSpaceDE w:val="0"/>
              <w:autoSpaceDN w:val="0"/>
              <w:adjustRightInd w:val="0"/>
              <w:jc w:val="both"/>
              <w:rPr>
                <w:rFonts w:ascii="Bookman Old Style" w:hAnsi="Bookman Old Style" w:cs="Arial"/>
                <w:bCs/>
                <w:sz w:val="24"/>
                <w:szCs w:val="24"/>
                <w:lang w:val="en-GB"/>
              </w:rPr>
            </w:pPr>
          </w:p>
        </w:tc>
        <w:tc>
          <w:tcPr>
            <w:tcW w:w="850" w:type="pct"/>
          </w:tcPr>
          <w:p w:rsidR="00D007B3" w:rsidRPr="00E60BE4" w:rsidRDefault="00D007B3" w:rsidP="00D007B3">
            <w:pPr>
              <w:jc w:val="both"/>
              <w:rPr>
                <w:rFonts w:ascii="Bookman Old Style" w:eastAsia="Times New Roman" w:hAnsi="Bookman Old Style" w:cs="Times New Roman"/>
                <w:sz w:val="24"/>
                <w:szCs w:val="24"/>
              </w:rPr>
            </w:pPr>
            <w:r w:rsidRPr="00E60BE4">
              <w:rPr>
                <w:rFonts w:ascii="Bookman Old Style" w:eastAsia="Times New Roman" w:hAnsi="Bookman Old Style" w:cs="Times New Roman"/>
                <w:sz w:val="24"/>
                <w:szCs w:val="24"/>
              </w:rPr>
              <w:t>“No Insurer shall resort to fresh underwriting by calling for medical examination, fresh proposal form at renewal stage where there is no change in Sum Insured offered. Provided that where there is an improvement in the risk profile, the Insurer may endeavour to recognise that for removal of loadings or offering discount at the point of renewal”</w:t>
            </w:r>
          </w:p>
        </w:tc>
        <w:tc>
          <w:tcPr>
            <w:tcW w:w="1211"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Regulation is proposed to be modified to encourage insurers to offer discount </w:t>
            </w:r>
            <w:r w:rsidRPr="00E60BE4">
              <w:rPr>
                <w:rFonts w:ascii="Bookman Old Style" w:eastAsia="Times New Roman" w:hAnsi="Bookman Old Style" w:cs="Arial"/>
                <w:sz w:val="24"/>
                <w:szCs w:val="24"/>
              </w:rPr>
              <w:t>where there is an improvement in the risk profile.</w:t>
            </w:r>
          </w:p>
        </w:tc>
      </w:tr>
      <w:tr w:rsidR="007E3122" w:rsidRPr="00E60BE4" w:rsidTr="009C0354">
        <w:tc>
          <w:tcPr>
            <w:tcW w:w="219" w:type="pct"/>
          </w:tcPr>
          <w:p w:rsidR="007E3122"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1</w:t>
            </w:r>
            <w:r w:rsidR="008D51C0">
              <w:rPr>
                <w:rFonts w:ascii="Bookman Old Style" w:hAnsi="Bookman Old Style" w:cs="Arial"/>
                <w:sz w:val="24"/>
                <w:szCs w:val="24"/>
              </w:rPr>
              <w:t>8</w:t>
            </w:r>
          </w:p>
        </w:tc>
        <w:tc>
          <w:tcPr>
            <w:tcW w:w="452" w:type="pct"/>
          </w:tcPr>
          <w:p w:rsidR="007E3122" w:rsidRPr="00E60BE4" w:rsidRDefault="008D51C0"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2(s</w:t>
            </w:r>
            <w:r w:rsidR="007E3122" w:rsidRPr="00E60BE4">
              <w:rPr>
                <w:rFonts w:ascii="Bookman Old Style" w:hAnsi="Bookman Old Style" w:cs="Arial"/>
                <w:sz w:val="24"/>
                <w:szCs w:val="24"/>
              </w:rPr>
              <w:t>)</w:t>
            </w:r>
          </w:p>
        </w:tc>
        <w:tc>
          <w:tcPr>
            <w:tcW w:w="574" w:type="pct"/>
          </w:tcPr>
          <w:p w:rsidR="007E3122" w:rsidRPr="00E60BE4" w:rsidRDefault="007E3122" w:rsidP="007E3122">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28</w:t>
            </w:r>
          </w:p>
          <w:p w:rsidR="007E3122" w:rsidRPr="00E60BE4" w:rsidRDefault="007E3122" w:rsidP="00D007B3">
            <w:pPr>
              <w:autoSpaceDE w:val="0"/>
              <w:autoSpaceDN w:val="0"/>
              <w:adjustRightInd w:val="0"/>
              <w:rPr>
                <w:rFonts w:ascii="Bookman Old Style" w:hAnsi="Bookman Old Style" w:cs="Arial"/>
                <w:sz w:val="24"/>
                <w:szCs w:val="24"/>
              </w:rPr>
            </w:pPr>
          </w:p>
        </w:tc>
        <w:tc>
          <w:tcPr>
            <w:tcW w:w="1695" w:type="pct"/>
          </w:tcPr>
          <w:p w:rsidR="007E3122" w:rsidRPr="00E60BE4" w:rsidRDefault="007E3122" w:rsidP="00D007B3">
            <w:pPr>
              <w:jc w:val="both"/>
              <w:rPr>
                <w:rFonts w:ascii="Bookman Old Style" w:hAnsi="Bookman Old Style" w:cs="Arial"/>
                <w:sz w:val="24"/>
                <w:szCs w:val="24"/>
              </w:rPr>
            </w:pPr>
            <w:r w:rsidRPr="00E60BE4">
              <w:rPr>
                <w:rFonts w:ascii="Bookman Old Style" w:eastAsia="Arial Unicode MS" w:hAnsi="Bookman Old Style" w:cs="Arial"/>
                <w:sz w:val="24"/>
                <w:szCs w:val="24"/>
              </w:rPr>
              <w:t>In addition to the requirements stipulated in IRDA (Protection of Policyholders’ Interest) Regulations, 2002 as amended from time to time the policy document shall contain:</w:t>
            </w:r>
          </w:p>
        </w:tc>
        <w:tc>
          <w:tcPr>
            <w:tcW w:w="850" w:type="pct"/>
          </w:tcPr>
          <w:p w:rsidR="007E3122" w:rsidRPr="00E60BE4" w:rsidRDefault="007E3122" w:rsidP="00E60BE4">
            <w:pPr>
              <w:pStyle w:val="PlainText"/>
              <w:jc w:val="both"/>
              <w:rPr>
                <w:rFonts w:ascii="Bookman Old Style" w:eastAsia="Arial Unicode MS" w:hAnsi="Bookman Old Style" w:cs="Arial"/>
                <w:sz w:val="24"/>
                <w:szCs w:val="24"/>
              </w:rPr>
            </w:pPr>
            <w:r w:rsidRPr="00E60BE4">
              <w:rPr>
                <w:rFonts w:ascii="Bookman Old Style" w:eastAsia="Arial Unicode MS" w:hAnsi="Bookman Old Style" w:cs="Arial"/>
                <w:sz w:val="24"/>
                <w:szCs w:val="24"/>
              </w:rPr>
              <w:t xml:space="preserve">“In addition to the requirements stipulated in IRDAI (Protection of Policyholders’ Interest) Regulations, 2017 as amended from time to time the </w:t>
            </w:r>
            <w:r w:rsidRPr="00E60BE4">
              <w:rPr>
                <w:rFonts w:ascii="Bookman Old Style" w:eastAsia="Arial Unicode MS" w:hAnsi="Bookman Old Style" w:cs="Arial"/>
                <w:sz w:val="24"/>
                <w:szCs w:val="24"/>
              </w:rPr>
              <w:lastRenderedPageBreak/>
              <w:t>policy document shall contain:”</w:t>
            </w:r>
          </w:p>
        </w:tc>
        <w:tc>
          <w:tcPr>
            <w:tcW w:w="1211" w:type="pct"/>
          </w:tcPr>
          <w:p w:rsidR="007E3122" w:rsidRPr="00E60BE4" w:rsidRDefault="007E3122" w:rsidP="00005E9F">
            <w:pPr>
              <w:jc w:val="both"/>
              <w:rPr>
                <w:rFonts w:ascii="Bookman Old Style" w:hAnsi="Bookman Old Style" w:cs="Arial"/>
                <w:sz w:val="24"/>
                <w:szCs w:val="24"/>
              </w:rPr>
            </w:pPr>
            <w:r w:rsidRPr="00E60BE4">
              <w:rPr>
                <w:rFonts w:ascii="Bookman Old Style" w:hAnsi="Bookman Old Style" w:cs="Arial"/>
                <w:sz w:val="24"/>
                <w:szCs w:val="24"/>
              </w:rPr>
              <w:lastRenderedPageBreak/>
              <w:t xml:space="preserve">Amended IRDAI (PPHI) Regulations </w:t>
            </w:r>
            <w:r w:rsidR="00B01564">
              <w:rPr>
                <w:rFonts w:ascii="Bookman Old Style" w:hAnsi="Bookman Old Style" w:cs="Arial"/>
                <w:sz w:val="24"/>
                <w:szCs w:val="24"/>
              </w:rPr>
              <w:t xml:space="preserve">is </w:t>
            </w:r>
            <w:r w:rsidRPr="00E60BE4">
              <w:rPr>
                <w:rFonts w:ascii="Bookman Old Style" w:hAnsi="Bookman Old Style" w:cs="Arial"/>
                <w:sz w:val="24"/>
                <w:szCs w:val="24"/>
              </w:rPr>
              <w:t>now specified.</w:t>
            </w:r>
          </w:p>
        </w:tc>
      </w:tr>
      <w:tr w:rsidR="007E3122" w:rsidRPr="00E60BE4" w:rsidTr="009C0354">
        <w:trPr>
          <w:trHeight w:val="1125"/>
        </w:trPr>
        <w:tc>
          <w:tcPr>
            <w:tcW w:w="219" w:type="pct"/>
          </w:tcPr>
          <w:p w:rsidR="007E3122" w:rsidRPr="00E60BE4" w:rsidRDefault="008D51C0"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19</w:t>
            </w:r>
          </w:p>
        </w:tc>
        <w:tc>
          <w:tcPr>
            <w:tcW w:w="452" w:type="pct"/>
          </w:tcPr>
          <w:p w:rsidR="007E3122" w:rsidRPr="00E60BE4" w:rsidRDefault="008D51C0"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2(t</w:t>
            </w:r>
            <w:r w:rsidR="007E3122" w:rsidRPr="00E60BE4">
              <w:rPr>
                <w:rFonts w:ascii="Bookman Old Style" w:hAnsi="Bookman Old Style" w:cs="Arial"/>
                <w:sz w:val="24"/>
                <w:szCs w:val="24"/>
              </w:rPr>
              <w:t>)</w:t>
            </w:r>
          </w:p>
        </w:tc>
        <w:tc>
          <w:tcPr>
            <w:tcW w:w="574" w:type="pct"/>
          </w:tcPr>
          <w:p w:rsidR="007E3122" w:rsidRPr="00E60BE4" w:rsidRDefault="007E3122" w:rsidP="007E3122">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28 (iv)</w:t>
            </w:r>
          </w:p>
          <w:p w:rsidR="007E3122" w:rsidRPr="00E60BE4" w:rsidRDefault="007E3122" w:rsidP="007E3122">
            <w:pPr>
              <w:autoSpaceDE w:val="0"/>
              <w:autoSpaceDN w:val="0"/>
              <w:adjustRightInd w:val="0"/>
              <w:rPr>
                <w:rFonts w:ascii="Bookman Old Style" w:hAnsi="Bookman Old Style" w:cs="Arial"/>
                <w:sz w:val="24"/>
                <w:szCs w:val="24"/>
              </w:rPr>
            </w:pPr>
          </w:p>
        </w:tc>
        <w:tc>
          <w:tcPr>
            <w:tcW w:w="1695" w:type="pct"/>
          </w:tcPr>
          <w:p w:rsidR="007E3122" w:rsidRPr="00E60BE4" w:rsidRDefault="00005E9F" w:rsidP="00E60BE4">
            <w:pPr>
              <w:widowControl w:val="0"/>
              <w:autoSpaceDE w:val="0"/>
              <w:autoSpaceDN w:val="0"/>
              <w:adjustRightInd w:val="0"/>
              <w:spacing w:before="240" w:after="240"/>
              <w:jc w:val="both"/>
              <w:rPr>
                <w:rFonts w:ascii="Bookman Old Style" w:eastAsia="Arial Unicode MS" w:hAnsi="Bookman Old Style" w:cs="Arial"/>
                <w:sz w:val="24"/>
                <w:szCs w:val="24"/>
              </w:rPr>
            </w:pPr>
            <w:r w:rsidRPr="00E60BE4">
              <w:rPr>
                <w:rFonts w:ascii="Bookman Old Style" w:eastAsia="Arial Unicode MS" w:hAnsi="Bookman Old Style" w:cs="Arial"/>
                <w:sz w:val="24"/>
                <w:szCs w:val="24"/>
              </w:rPr>
              <w:t xml:space="preserve">Penal interest provision shall invariably be incorporated in the policy document as per Regulation 9(6) of (Protection of Policyholders’ Interests) Regulations, 2002 as modified from time to time.  </w:t>
            </w:r>
          </w:p>
        </w:tc>
        <w:tc>
          <w:tcPr>
            <w:tcW w:w="850" w:type="pct"/>
          </w:tcPr>
          <w:p w:rsidR="007E3122" w:rsidRPr="00E60BE4" w:rsidRDefault="00181FC7" w:rsidP="007E3122">
            <w:pPr>
              <w:widowControl w:val="0"/>
              <w:autoSpaceDE w:val="0"/>
              <w:autoSpaceDN w:val="0"/>
              <w:adjustRightInd w:val="0"/>
              <w:spacing w:before="240" w:after="240"/>
              <w:jc w:val="both"/>
              <w:rPr>
                <w:rFonts w:ascii="Bookman Old Style" w:eastAsia="Arial Unicode MS" w:hAnsi="Bookman Old Style" w:cs="Arial"/>
                <w:sz w:val="24"/>
                <w:szCs w:val="24"/>
              </w:rPr>
            </w:pPr>
            <w:r w:rsidRPr="00E60BE4">
              <w:rPr>
                <w:rFonts w:ascii="Bookman Old Style" w:eastAsia="Arial Unicode MS" w:hAnsi="Bookman Old Style" w:cs="Arial"/>
                <w:sz w:val="24"/>
                <w:szCs w:val="24"/>
              </w:rPr>
              <w:t xml:space="preserve">Penal interest provision shall invariably be incorporated in the policy document as per the applicable provisions of (Protection of Policyholders’ Interests) Regulations, 2017 as modified from time to time.  </w:t>
            </w:r>
          </w:p>
        </w:tc>
        <w:tc>
          <w:tcPr>
            <w:tcW w:w="1211" w:type="pct"/>
          </w:tcPr>
          <w:p w:rsidR="007E3122" w:rsidRPr="00E60BE4" w:rsidRDefault="00005E9F" w:rsidP="00181FC7">
            <w:pPr>
              <w:jc w:val="both"/>
              <w:rPr>
                <w:rFonts w:ascii="Bookman Old Style" w:hAnsi="Bookman Old Style" w:cs="Arial"/>
                <w:sz w:val="24"/>
                <w:szCs w:val="24"/>
              </w:rPr>
            </w:pPr>
            <w:r w:rsidRPr="00E60BE4">
              <w:rPr>
                <w:rFonts w:ascii="Bookman Old Style" w:hAnsi="Bookman Old Style" w:cs="Arial"/>
                <w:sz w:val="24"/>
                <w:szCs w:val="24"/>
              </w:rPr>
              <w:t xml:space="preserve">Amended IRDAI (PPHI) Regulations </w:t>
            </w:r>
            <w:r w:rsidR="00BC4C34">
              <w:rPr>
                <w:rFonts w:ascii="Bookman Old Style" w:hAnsi="Bookman Old Style" w:cs="Arial"/>
                <w:sz w:val="24"/>
                <w:szCs w:val="24"/>
              </w:rPr>
              <w:t xml:space="preserve">is </w:t>
            </w:r>
            <w:r w:rsidRPr="00E60BE4">
              <w:rPr>
                <w:rFonts w:ascii="Bookman Old Style" w:hAnsi="Bookman Old Style" w:cs="Arial"/>
                <w:sz w:val="24"/>
                <w:szCs w:val="24"/>
              </w:rPr>
              <w:t>now specified.</w:t>
            </w:r>
          </w:p>
        </w:tc>
      </w:tr>
      <w:tr w:rsidR="00D007B3" w:rsidRPr="00E60BE4" w:rsidTr="009C0354">
        <w:tc>
          <w:tcPr>
            <w:tcW w:w="219" w:type="pct"/>
          </w:tcPr>
          <w:p w:rsidR="00D007B3" w:rsidRPr="00E60BE4" w:rsidRDefault="009C6D81" w:rsidP="008D51C0">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r w:rsidR="008D51C0">
              <w:rPr>
                <w:rFonts w:ascii="Bookman Old Style" w:hAnsi="Bookman Old Style" w:cs="Arial"/>
                <w:sz w:val="24"/>
                <w:szCs w:val="24"/>
              </w:rPr>
              <w:t>0</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 (</w:t>
            </w:r>
            <w:r w:rsidR="008D51C0">
              <w:rPr>
                <w:rFonts w:ascii="Bookman Old Style" w:hAnsi="Bookman Old Style" w:cs="Arial"/>
                <w:sz w:val="24"/>
                <w:szCs w:val="24"/>
              </w:rPr>
              <w:t>u</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Regulation 30 (b)</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Cashless facility shall be offered only at establishments which have entered into an Agreement with the insurer to extend such services. Such establishments will be termed as Network Providers. </w:t>
            </w:r>
          </w:p>
          <w:p w:rsidR="00D007B3" w:rsidRPr="00E60BE4" w:rsidRDefault="00D007B3" w:rsidP="00D007B3">
            <w:pPr>
              <w:widowControl w:val="0"/>
              <w:overflowPunct w:val="0"/>
              <w:autoSpaceDE w:val="0"/>
              <w:autoSpaceDN w:val="0"/>
              <w:adjustRightInd w:val="0"/>
              <w:jc w:val="both"/>
              <w:rPr>
                <w:rFonts w:ascii="Bookman Old Style" w:hAnsi="Bookman Old Style" w:cs="Arial"/>
                <w:bCs/>
                <w:sz w:val="24"/>
                <w:szCs w:val="24"/>
                <w:lang w:val="en-GB"/>
              </w:rPr>
            </w:pP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t>“Insurer shall be responsible for ensuring availability of cashless facility at network providers.”</w:t>
            </w:r>
          </w:p>
          <w:p w:rsidR="00D007B3" w:rsidRPr="00E60BE4" w:rsidRDefault="00D007B3" w:rsidP="00D007B3">
            <w:pPr>
              <w:pStyle w:val="PlainText"/>
              <w:jc w:val="both"/>
              <w:rPr>
                <w:rFonts w:ascii="Bookman Old Style" w:hAnsi="Bookman Old Style" w:cs="Times New Roman"/>
                <w:sz w:val="24"/>
                <w:szCs w:val="24"/>
              </w:rPr>
            </w:pPr>
          </w:p>
        </w:tc>
        <w:tc>
          <w:tcPr>
            <w:tcW w:w="1211" w:type="pct"/>
          </w:tcPr>
          <w:p w:rsidR="00D007B3" w:rsidRPr="00E60BE4" w:rsidRDefault="00D007B3" w:rsidP="00E36798">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Existing regulations mandate bipartite / tripartite agreements which are considered highly prescriptive. While shifting the onus of ensuring availability of cashless facility at network providers to the insurers, it is proposed to leave it to the insure</w:t>
            </w:r>
            <w:r w:rsidR="00E36798">
              <w:rPr>
                <w:rFonts w:ascii="Bookman Old Style" w:hAnsi="Bookman Old Style" w:cs="Arial"/>
                <w:sz w:val="24"/>
                <w:szCs w:val="24"/>
              </w:rPr>
              <w:t>r</w:t>
            </w:r>
            <w:r w:rsidRPr="00E60BE4">
              <w:rPr>
                <w:rFonts w:ascii="Bookman Old Style" w:hAnsi="Bookman Old Style" w:cs="Arial"/>
                <w:sz w:val="24"/>
                <w:szCs w:val="24"/>
              </w:rPr>
              <w:t xml:space="preserve">s </w:t>
            </w:r>
            <w:r w:rsidR="00E36798">
              <w:rPr>
                <w:rFonts w:ascii="Bookman Old Style" w:hAnsi="Bookman Old Style" w:cs="Arial"/>
                <w:sz w:val="24"/>
                <w:szCs w:val="24"/>
              </w:rPr>
              <w:t>the manner of engaging the network providers.</w:t>
            </w:r>
            <w:r w:rsidRPr="00E60BE4">
              <w:rPr>
                <w:rFonts w:ascii="Bookman Old Style" w:hAnsi="Bookman Old Style" w:cs="Arial"/>
                <w:sz w:val="24"/>
                <w:szCs w:val="24"/>
              </w:rPr>
              <w:t xml:space="preserve"> Network providers is already defined in the IRDAI (TPA-HS) </w:t>
            </w:r>
            <w:r w:rsidRPr="00E60BE4">
              <w:rPr>
                <w:rFonts w:ascii="Bookman Old Style" w:hAnsi="Bookman Old Style" w:cs="Arial"/>
                <w:sz w:val="24"/>
                <w:szCs w:val="24"/>
              </w:rPr>
              <w:lastRenderedPageBreak/>
              <w:t xml:space="preserve">Regulations, 2016. </w:t>
            </w:r>
            <w:r w:rsidRPr="00E60BE4">
              <w:rPr>
                <w:rFonts w:ascii="Bookman Old Style" w:hAnsi="Bookman Old Style" w:cs="Times New Roman"/>
                <w:sz w:val="24"/>
                <w:szCs w:val="24"/>
              </w:rPr>
              <w:t xml:space="preserve">Hence, the proposed modification. </w:t>
            </w:r>
          </w:p>
        </w:tc>
      </w:tr>
      <w:tr w:rsidR="00D007B3" w:rsidRPr="00E60BE4" w:rsidTr="009C0354">
        <w:tc>
          <w:tcPr>
            <w:tcW w:w="219" w:type="pct"/>
          </w:tcPr>
          <w:p w:rsidR="00D007B3"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2</w:t>
            </w:r>
            <w:r w:rsidR="008D51C0">
              <w:rPr>
                <w:rFonts w:ascii="Bookman Old Style" w:hAnsi="Bookman Old Style" w:cs="Arial"/>
                <w:sz w:val="24"/>
                <w:szCs w:val="24"/>
              </w:rPr>
              <w:t>1</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v</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Omission of Regulation 30 (g)</w:t>
            </w:r>
          </w:p>
        </w:tc>
        <w:tc>
          <w:tcPr>
            <w:tcW w:w="1695"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The identification card shall, at the minimum, carry details of the policyholder and the logo of the insurer. Insurers shall endeavour to issue Smart Cards with features such as cards with Quick Response Code, Magnetic reader to enable the TPAs and Network Providers offer health services seamlessly.</w:t>
            </w:r>
          </w:p>
          <w:p w:rsidR="00D007B3" w:rsidRPr="00E60BE4" w:rsidRDefault="00D007B3" w:rsidP="00D007B3">
            <w:pPr>
              <w:widowControl w:val="0"/>
              <w:overflowPunct w:val="0"/>
              <w:autoSpaceDE w:val="0"/>
              <w:autoSpaceDN w:val="0"/>
              <w:adjustRightInd w:val="0"/>
              <w:jc w:val="both"/>
              <w:rPr>
                <w:rFonts w:ascii="Bookman Old Style" w:hAnsi="Bookman Old Style" w:cs="Arial"/>
                <w:bCs/>
                <w:sz w:val="24"/>
                <w:szCs w:val="24"/>
                <w:lang w:val="en-GB"/>
              </w:rPr>
            </w:pP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t>Omitted</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sz w:val="24"/>
                <w:szCs w:val="24"/>
              </w:rPr>
              <w:t xml:space="preserve">Mentioning the requirements on an Id card is redundant and insurers know what to mention. </w:t>
            </w:r>
            <w:r w:rsidRPr="00E60BE4">
              <w:rPr>
                <w:rFonts w:ascii="Bookman Old Style" w:hAnsi="Bookman Old Style" w:cs="Times New Roman"/>
                <w:sz w:val="24"/>
                <w:szCs w:val="24"/>
              </w:rPr>
              <w:t>Hence, the proposed modification.</w:t>
            </w:r>
          </w:p>
        </w:tc>
      </w:tr>
      <w:tr w:rsidR="00484660" w:rsidRPr="00E60BE4" w:rsidTr="009C0354">
        <w:tc>
          <w:tcPr>
            <w:tcW w:w="219" w:type="pct"/>
          </w:tcPr>
          <w:p w:rsidR="00484660" w:rsidRPr="00E60BE4" w:rsidDel="00352692"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r w:rsidR="008D51C0">
              <w:rPr>
                <w:rFonts w:ascii="Bookman Old Style" w:hAnsi="Bookman Old Style" w:cs="Arial"/>
                <w:sz w:val="24"/>
                <w:szCs w:val="24"/>
              </w:rPr>
              <w:t>2</w:t>
            </w:r>
          </w:p>
        </w:tc>
        <w:tc>
          <w:tcPr>
            <w:tcW w:w="452" w:type="pct"/>
          </w:tcPr>
          <w:p w:rsidR="00484660" w:rsidRPr="00E60BE4" w:rsidRDefault="008D51C0"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w:t>
            </w:r>
            <w:r w:rsidR="00484660" w:rsidRPr="00E60BE4">
              <w:rPr>
                <w:rFonts w:ascii="Bookman Old Style" w:hAnsi="Bookman Old Style" w:cs="Arial"/>
                <w:sz w:val="24"/>
                <w:szCs w:val="24"/>
              </w:rPr>
              <w:t>)</w:t>
            </w:r>
          </w:p>
        </w:tc>
        <w:tc>
          <w:tcPr>
            <w:tcW w:w="574" w:type="pct"/>
          </w:tcPr>
          <w:p w:rsidR="00FB614E" w:rsidRPr="00E60BE4" w:rsidRDefault="00FB614E" w:rsidP="00FB614E">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Modification of heading of Regulation 31</w:t>
            </w:r>
          </w:p>
          <w:p w:rsidR="00484660" w:rsidRPr="00E60BE4" w:rsidRDefault="00484660" w:rsidP="00D007B3">
            <w:pPr>
              <w:autoSpaceDE w:val="0"/>
              <w:autoSpaceDN w:val="0"/>
              <w:adjustRightInd w:val="0"/>
              <w:rPr>
                <w:rFonts w:ascii="Bookman Old Style" w:hAnsi="Bookman Old Style" w:cs="Arial"/>
                <w:sz w:val="24"/>
                <w:szCs w:val="24"/>
              </w:rPr>
            </w:pPr>
          </w:p>
        </w:tc>
        <w:tc>
          <w:tcPr>
            <w:tcW w:w="1695" w:type="pct"/>
          </w:tcPr>
          <w:p w:rsidR="00484660" w:rsidRPr="00E60BE4" w:rsidRDefault="00FB614E"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b/>
                <w:sz w:val="24"/>
                <w:szCs w:val="24"/>
                <w:u w:val="single"/>
              </w:rPr>
              <w:t>Health Services Agreements</w:t>
            </w:r>
          </w:p>
        </w:tc>
        <w:tc>
          <w:tcPr>
            <w:tcW w:w="850" w:type="pct"/>
          </w:tcPr>
          <w:p w:rsidR="00FB614E" w:rsidRPr="00E60BE4" w:rsidRDefault="00E36798" w:rsidP="00FB614E">
            <w:pPr>
              <w:pStyle w:val="PlainText"/>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w:t>
            </w:r>
            <w:r w:rsidR="00FB614E" w:rsidRPr="00E60BE4">
              <w:rPr>
                <w:rFonts w:ascii="Bookman Old Style" w:eastAsiaTheme="minorEastAsia" w:hAnsi="Bookman Old Style" w:cs="Times New Roman"/>
                <w:sz w:val="24"/>
                <w:szCs w:val="24"/>
              </w:rPr>
              <w:t>Norms related to Network Providers”</w:t>
            </w:r>
          </w:p>
          <w:p w:rsidR="00484660" w:rsidRPr="00E60BE4" w:rsidRDefault="00484660" w:rsidP="00D007B3">
            <w:pPr>
              <w:pStyle w:val="PlainText"/>
              <w:jc w:val="both"/>
              <w:rPr>
                <w:rFonts w:ascii="Bookman Old Style" w:hAnsi="Bookman Old Style" w:cs="Times New Roman"/>
                <w:sz w:val="24"/>
                <w:szCs w:val="24"/>
              </w:rPr>
            </w:pPr>
          </w:p>
        </w:tc>
        <w:tc>
          <w:tcPr>
            <w:tcW w:w="1211" w:type="pct"/>
          </w:tcPr>
          <w:p w:rsidR="00484660" w:rsidRPr="00E60BE4" w:rsidRDefault="00FB614E" w:rsidP="00FB614E">
            <w:pPr>
              <w:autoSpaceDE w:val="0"/>
              <w:autoSpaceDN w:val="0"/>
              <w:adjustRightInd w:val="0"/>
              <w:jc w:val="both"/>
              <w:rPr>
                <w:rFonts w:ascii="Bookman Old Style" w:hAnsi="Bookman Old Style"/>
                <w:sz w:val="24"/>
                <w:szCs w:val="24"/>
              </w:rPr>
            </w:pPr>
            <w:r w:rsidRPr="00E60BE4">
              <w:rPr>
                <w:rFonts w:ascii="Bookman Old Style" w:hAnsi="Bookman Old Style" w:cs="Arial"/>
                <w:sz w:val="24"/>
                <w:szCs w:val="24"/>
                <w:shd w:val="clear" w:color="auto" w:fill="FFFFFF"/>
              </w:rPr>
              <w:t>In view of the amendments proposed to Reg. 31, change of heading of Reg. 31 is necessary.</w:t>
            </w:r>
          </w:p>
        </w:tc>
      </w:tr>
      <w:tr w:rsidR="00D007B3" w:rsidRPr="00E60BE4" w:rsidTr="009C0354">
        <w:tc>
          <w:tcPr>
            <w:tcW w:w="219" w:type="pct"/>
          </w:tcPr>
          <w:p w:rsidR="00D007B3"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r w:rsidR="008D51C0">
              <w:rPr>
                <w:rFonts w:ascii="Bookman Old Style" w:hAnsi="Bookman Old Style" w:cs="Arial"/>
                <w:sz w:val="24"/>
                <w:szCs w:val="24"/>
              </w:rPr>
              <w:t>3</w:t>
            </w:r>
          </w:p>
        </w:tc>
        <w:tc>
          <w:tcPr>
            <w:tcW w:w="452" w:type="pct"/>
          </w:tcPr>
          <w:p w:rsidR="00D007B3" w:rsidRPr="00E60BE4" w:rsidRDefault="00D007B3" w:rsidP="00FB614E">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x</w:t>
            </w:r>
            <w:r w:rsidRPr="00E60BE4">
              <w:rPr>
                <w:rFonts w:ascii="Bookman Old Style" w:hAnsi="Bookman Old Style" w:cs="Arial"/>
                <w:sz w:val="24"/>
                <w:szCs w:val="24"/>
              </w:rPr>
              <w:t>),2(</w:t>
            </w:r>
            <w:r w:rsidR="008D51C0">
              <w:rPr>
                <w:rFonts w:ascii="Bookman Old Style" w:hAnsi="Bookman Old Style" w:cs="Arial"/>
                <w:sz w:val="24"/>
                <w:szCs w:val="24"/>
              </w:rPr>
              <w:t>y</w:t>
            </w:r>
            <w:r w:rsidRPr="00E60BE4">
              <w:rPr>
                <w:rFonts w:ascii="Bookman Old Style" w:hAnsi="Bookman Old Style" w:cs="Arial"/>
                <w:sz w:val="24"/>
                <w:szCs w:val="24"/>
              </w:rPr>
              <w:t>) and 2(</w:t>
            </w:r>
            <w:r w:rsidR="008D51C0">
              <w:rPr>
                <w:rFonts w:ascii="Bookman Old Style" w:hAnsi="Bookman Old Style" w:cs="Arial"/>
                <w:sz w:val="24"/>
                <w:szCs w:val="24"/>
              </w:rPr>
              <w:t>z</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rPr>
                <w:rFonts w:ascii="Bookman Old Style" w:hAnsi="Bookman Old Style" w:cs="Arial"/>
                <w:sz w:val="24"/>
                <w:szCs w:val="24"/>
              </w:rPr>
            </w:pPr>
            <w:r w:rsidRPr="00E60BE4">
              <w:rPr>
                <w:rFonts w:ascii="Bookman Old Style" w:hAnsi="Bookman Old Style" w:cs="Arial"/>
                <w:sz w:val="24"/>
                <w:szCs w:val="24"/>
              </w:rPr>
              <w:t>Omission of Regulation 31 (a),31(b) &amp; 31 (c)</w:t>
            </w:r>
          </w:p>
        </w:tc>
        <w:tc>
          <w:tcPr>
            <w:tcW w:w="1695" w:type="pct"/>
          </w:tcPr>
          <w:p w:rsidR="00D007B3" w:rsidRPr="00E60BE4" w:rsidRDefault="00D007B3" w:rsidP="00D007B3">
            <w:pPr>
              <w:jc w:val="both"/>
              <w:rPr>
                <w:rStyle w:val="Strong"/>
                <w:rFonts w:ascii="Bookman Old Style" w:hAnsi="Bookman Old Style" w:cs="Arial"/>
                <w:b w:val="0"/>
                <w:bCs w:val="0"/>
                <w:sz w:val="24"/>
                <w:szCs w:val="24"/>
              </w:rPr>
            </w:pPr>
            <w:r w:rsidRPr="00E60BE4">
              <w:rPr>
                <w:rStyle w:val="Strong"/>
                <w:rFonts w:ascii="Bookman Old Style" w:hAnsi="Bookman Old Style" w:cs="Arial"/>
                <w:b w:val="0"/>
                <w:bCs w:val="0"/>
                <w:sz w:val="24"/>
                <w:szCs w:val="24"/>
                <w:lang w:val="en-GB"/>
              </w:rPr>
              <w:t>a. Insurance companies may offer policies providing cashless services to the policyholders provided:</w:t>
            </w:r>
          </w:p>
          <w:p w:rsidR="00D007B3" w:rsidRPr="00E60BE4" w:rsidRDefault="00D007B3" w:rsidP="00D007B3">
            <w:pPr>
              <w:jc w:val="both"/>
              <w:rPr>
                <w:rStyle w:val="Strong"/>
                <w:rFonts w:ascii="Bookman Old Style" w:hAnsi="Bookman Old Style" w:cs="Arial"/>
                <w:b w:val="0"/>
                <w:bCs w:val="0"/>
                <w:sz w:val="24"/>
                <w:szCs w:val="24"/>
              </w:rPr>
            </w:pPr>
            <w:proofErr w:type="spellStart"/>
            <w:r w:rsidRPr="00E60BE4">
              <w:rPr>
                <w:rStyle w:val="Strong"/>
                <w:rFonts w:ascii="Bookman Old Style" w:hAnsi="Bookman Old Style" w:cs="Arial"/>
                <w:b w:val="0"/>
                <w:bCs w:val="0"/>
                <w:sz w:val="24"/>
                <w:szCs w:val="24"/>
                <w:lang w:val="en-GB"/>
              </w:rPr>
              <w:t>i.The</w:t>
            </w:r>
            <w:proofErr w:type="spellEnd"/>
            <w:r w:rsidRPr="00E60BE4">
              <w:rPr>
                <w:rStyle w:val="Strong"/>
                <w:rFonts w:ascii="Bookman Old Style" w:hAnsi="Bookman Old Style" w:cs="Arial"/>
                <w:b w:val="0"/>
                <w:bCs w:val="0"/>
                <w:sz w:val="24"/>
                <w:szCs w:val="24"/>
                <w:lang w:val="en-GB"/>
              </w:rPr>
              <w:t xml:space="preserve"> services are offered through network providers who have been enlisted to provide medical services under a direct written agreement with the insurer where there is a direct arrangement or by a tripartite agreement amongst health services provider, the TPA and the insurer where it is through a TPA.</w:t>
            </w:r>
            <w:r w:rsidRPr="00E60BE4">
              <w:rPr>
                <w:rFonts w:ascii="Bookman Old Style" w:hAnsi="Bookman Old Style" w:cs="Arial"/>
                <w:sz w:val="24"/>
                <w:szCs w:val="24"/>
              </w:rPr>
              <w:t xml:space="preserve"> Where an insurer wishes to utilise the services of a TPA, it shall ensure that </w:t>
            </w:r>
            <w:r w:rsidRPr="00E60BE4">
              <w:rPr>
                <w:rFonts w:ascii="Bookman Old Style" w:hAnsi="Bookman Old Style" w:cs="Arial"/>
                <w:sz w:val="24"/>
                <w:szCs w:val="24"/>
              </w:rPr>
              <w:lastRenderedPageBreak/>
              <w:t xml:space="preserve">the written agreement is entered into for defined services with a TPA holding a valid Certificate of Registration issued in accordance with the IRDAI (Third Party Administrators – Health Services) Regulations, 2016 as may be amended from time to time. </w:t>
            </w:r>
          </w:p>
          <w:p w:rsidR="00D007B3" w:rsidRPr="00E60BE4" w:rsidRDefault="00D007B3" w:rsidP="00D007B3">
            <w:pPr>
              <w:jc w:val="both"/>
              <w:rPr>
                <w:rStyle w:val="Strong"/>
                <w:rFonts w:ascii="Bookman Old Style" w:hAnsi="Bookman Old Style" w:cs="Arial"/>
                <w:b w:val="0"/>
                <w:bCs w:val="0"/>
                <w:sz w:val="24"/>
                <w:szCs w:val="24"/>
                <w:lang w:val="en-GB"/>
              </w:rPr>
            </w:pPr>
            <w:proofErr w:type="spellStart"/>
            <w:proofErr w:type="gramStart"/>
            <w:r w:rsidRPr="00E60BE4">
              <w:rPr>
                <w:rStyle w:val="Strong"/>
                <w:rFonts w:ascii="Bookman Old Style" w:hAnsi="Bookman Old Style" w:cs="Arial"/>
                <w:b w:val="0"/>
                <w:bCs w:val="0"/>
                <w:sz w:val="24"/>
                <w:szCs w:val="24"/>
                <w:lang w:val="en-GB"/>
              </w:rPr>
              <w:t>b.The</w:t>
            </w:r>
            <w:proofErr w:type="spellEnd"/>
            <w:proofErr w:type="gramEnd"/>
            <w:r w:rsidRPr="00E60BE4">
              <w:rPr>
                <w:rStyle w:val="Strong"/>
                <w:rFonts w:ascii="Bookman Old Style" w:hAnsi="Bookman Old Style" w:cs="Arial"/>
                <w:b w:val="0"/>
                <w:bCs w:val="0"/>
                <w:sz w:val="24"/>
                <w:szCs w:val="24"/>
                <w:lang w:val="en-GB"/>
              </w:rPr>
              <w:t xml:space="preserve"> Agreements which shall be entered into between / amongst insurers, network providers or TPAs shall cover the following amongst others:</w:t>
            </w:r>
          </w:p>
          <w:p w:rsidR="00D007B3" w:rsidRPr="00E60BE4" w:rsidRDefault="00D007B3" w:rsidP="00D007B3">
            <w:pPr>
              <w:pStyle w:val="ListParagraph"/>
              <w:ind w:left="1495"/>
              <w:jc w:val="both"/>
              <w:rPr>
                <w:rStyle w:val="Strong"/>
                <w:rFonts w:ascii="Bookman Old Style" w:hAnsi="Bookman Old Style" w:cs="Arial"/>
                <w:b w:val="0"/>
                <w:bCs w:val="0"/>
                <w:sz w:val="24"/>
                <w:szCs w:val="24"/>
              </w:rPr>
            </w:pPr>
          </w:p>
          <w:p w:rsidR="00D007B3" w:rsidRPr="00E60BE4" w:rsidRDefault="00D007B3" w:rsidP="00E60BE4">
            <w:pPr>
              <w:pStyle w:val="ListParagraph"/>
              <w:numPr>
                <w:ilvl w:val="2"/>
                <w:numId w:val="6"/>
              </w:numPr>
              <w:ind w:left="360"/>
              <w:jc w:val="both"/>
              <w:rPr>
                <w:rStyle w:val="Strong"/>
                <w:rFonts w:ascii="Bookman Old Style" w:hAnsi="Bookman Old Style" w:cs="Arial"/>
                <w:b w:val="0"/>
                <w:bCs w:val="0"/>
                <w:sz w:val="24"/>
                <w:szCs w:val="24"/>
              </w:rPr>
            </w:pPr>
            <w:r w:rsidRPr="00E60BE4">
              <w:rPr>
                <w:rStyle w:val="Strong"/>
                <w:rFonts w:ascii="Bookman Old Style" w:hAnsi="Bookman Old Style" w:cs="Arial"/>
                <w:b w:val="0"/>
                <w:bCs w:val="0"/>
                <w:sz w:val="24"/>
                <w:szCs w:val="24"/>
                <w:lang w:val="en-GB"/>
              </w:rPr>
              <w:t>The tariff applicable with respect to various kinds of healthcare services being provided by the network provider.</w:t>
            </w:r>
          </w:p>
          <w:p w:rsidR="00D007B3" w:rsidRPr="00E60BE4" w:rsidRDefault="00D007B3" w:rsidP="00181FC7">
            <w:pPr>
              <w:pStyle w:val="ListParagraph"/>
              <w:numPr>
                <w:ilvl w:val="2"/>
                <w:numId w:val="6"/>
              </w:numPr>
              <w:ind w:left="360"/>
              <w:jc w:val="both"/>
              <w:rPr>
                <w:rStyle w:val="Strong"/>
                <w:rFonts w:ascii="Bookman Old Style" w:hAnsi="Bookman Old Style" w:cs="Arial"/>
                <w:b w:val="0"/>
                <w:bCs w:val="0"/>
                <w:strike/>
                <w:sz w:val="24"/>
                <w:szCs w:val="24"/>
              </w:rPr>
            </w:pPr>
            <w:r w:rsidRPr="00E60BE4">
              <w:rPr>
                <w:rStyle w:val="Strong"/>
                <w:rFonts w:ascii="Bookman Old Style" w:hAnsi="Bookman Old Style" w:cs="Arial"/>
                <w:b w:val="0"/>
                <w:bCs w:val="0"/>
                <w:sz w:val="24"/>
                <w:szCs w:val="24"/>
                <w:lang w:val="en-GB"/>
              </w:rPr>
              <w:t>A clause empowering the insurer to cancel or modify the agreement in case of any fraud, misrepresentation, inadequacy of service or other non-compliance or default on the part of TPA or network provider.</w:t>
            </w:r>
          </w:p>
          <w:p w:rsidR="00D007B3" w:rsidRPr="00E60BE4" w:rsidRDefault="00D007B3" w:rsidP="00D007B3">
            <w:pPr>
              <w:pStyle w:val="ListParagraph"/>
              <w:ind w:left="0"/>
              <w:rPr>
                <w:rStyle w:val="Strong"/>
                <w:rFonts w:ascii="Bookman Old Style" w:hAnsi="Bookman Old Style" w:cs="Arial"/>
                <w:b w:val="0"/>
                <w:bCs w:val="0"/>
                <w:strike/>
                <w:sz w:val="24"/>
                <w:szCs w:val="24"/>
              </w:rPr>
            </w:pPr>
          </w:p>
          <w:p w:rsidR="00D007B3" w:rsidRPr="00E60BE4" w:rsidRDefault="00D007B3" w:rsidP="00181FC7">
            <w:pPr>
              <w:pStyle w:val="ListParagraph"/>
              <w:numPr>
                <w:ilvl w:val="2"/>
                <w:numId w:val="6"/>
              </w:numPr>
              <w:ind w:left="460"/>
              <w:jc w:val="both"/>
              <w:rPr>
                <w:rStyle w:val="Strong"/>
                <w:rFonts w:ascii="Bookman Old Style" w:hAnsi="Bookman Old Style" w:cs="Arial"/>
                <w:b w:val="0"/>
                <w:bCs w:val="0"/>
                <w:sz w:val="24"/>
                <w:szCs w:val="24"/>
              </w:rPr>
            </w:pPr>
            <w:r w:rsidRPr="00E60BE4">
              <w:rPr>
                <w:rStyle w:val="Strong"/>
                <w:rFonts w:ascii="Bookman Old Style" w:hAnsi="Bookman Old Style" w:cs="Arial"/>
                <w:b w:val="0"/>
                <w:bCs w:val="0"/>
                <w:sz w:val="24"/>
                <w:szCs w:val="24"/>
                <w:lang w:val="en-GB"/>
              </w:rPr>
              <w:t>A standard clause as may be agreed upon providing for continuance of services by a network provider to the insurance company if the TPA is changed or the agreement with TPA is terminated.</w:t>
            </w:r>
          </w:p>
          <w:p w:rsidR="00D007B3" w:rsidRPr="00E60BE4" w:rsidRDefault="00D007B3" w:rsidP="00D007B3">
            <w:pPr>
              <w:pStyle w:val="ListParagraph"/>
              <w:rPr>
                <w:rStyle w:val="Strong"/>
                <w:rFonts w:ascii="Bookman Old Style" w:hAnsi="Bookman Old Style" w:cs="Arial"/>
                <w:b w:val="0"/>
                <w:bCs w:val="0"/>
                <w:sz w:val="24"/>
                <w:szCs w:val="24"/>
              </w:rPr>
            </w:pPr>
          </w:p>
          <w:p w:rsidR="00D007B3" w:rsidRPr="00E60BE4" w:rsidRDefault="00D007B3" w:rsidP="00181FC7">
            <w:pPr>
              <w:pStyle w:val="ListParagraph"/>
              <w:numPr>
                <w:ilvl w:val="2"/>
                <w:numId w:val="6"/>
              </w:numPr>
              <w:ind w:left="460"/>
              <w:jc w:val="both"/>
              <w:rPr>
                <w:rStyle w:val="Strong"/>
                <w:rFonts w:ascii="Bookman Old Style" w:hAnsi="Bookman Old Style" w:cs="Arial"/>
                <w:b w:val="0"/>
                <w:bCs w:val="0"/>
                <w:sz w:val="24"/>
                <w:szCs w:val="24"/>
              </w:rPr>
            </w:pPr>
            <w:r w:rsidRPr="00E60BE4">
              <w:rPr>
                <w:rStyle w:val="Strong"/>
                <w:rFonts w:ascii="Bookman Old Style" w:hAnsi="Bookman Old Style" w:cs="Arial"/>
                <w:b w:val="0"/>
                <w:bCs w:val="0"/>
                <w:sz w:val="24"/>
                <w:szCs w:val="24"/>
                <w:lang w:val="en-GB"/>
              </w:rPr>
              <w:lastRenderedPageBreak/>
              <w:t>A clause providing for opting out of network provider from a given TPA or disempanelment of a network provider by a TPA subject to Guidelines specified by the Authority, if any, for reasons of inadequacy of service rendered by the TPA to the network provider.</w:t>
            </w:r>
          </w:p>
          <w:p w:rsidR="00D007B3" w:rsidRPr="00E60BE4" w:rsidRDefault="00D007B3" w:rsidP="00D007B3">
            <w:pPr>
              <w:pStyle w:val="ListParagraph"/>
              <w:rPr>
                <w:rStyle w:val="Strong"/>
                <w:rFonts w:ascii="Bookman Old Style" w:hAnsi="Bookman Old Style" w:cs="Arial"/>
                <w:b w:val="0"/>
                <w:bCs w:val="0"/>
                <w:sz w:val="24"/>
                <w:szCs w:val="24"/>
              </w:rPr>
            </w:pPr>
          </w:p>
          <w:p w:rsidR="00D007B3" w:rsidRPr="00E60BE4" w:rsidRDefault="00D007B3" w:rsidP="00181FC7">
            <w:pPr>
              <w:pStyle w:val="ListParagraph"/>
              <w:numPr>
                <w:ilvl w:val="2"/>
                <w:numId w:val="6"/>
              </w:numPr>
              <w:ind w:left="602"/>
              <w:jc w:val="both"/>
              <w:rPr>
                <w:rStyle w:val="Strong"/>
                <w:rFonts w:ascii="Bookman Old Style" w:hAnsi="Bookman Old Style" w:cs="Arial"/>
                <w:b w:val="0"/>
                <w:bCs w:val="0"/>
                <w:sz w:val="24"/>
                <w:szCs w:val="24"/>
              </w:rPr>
            </w:pPr>
            <w:r w:rsidRPr="00E60BE4">
              <w:rPr>
                <w:rStyle w:val="Strong"/>
                <w:rFonts w:ascii="Bookman Old Style" w:hAnsi="Bookman Old Style" w:cs="Arial"/>
                <w:b w:val="0"/>
                <w:bCs w:val="0"/>
                <w:sz w:val="24"/>
                <w:szCs w:val="24"/>
                <w:lang w:val="en-GB"/>
              </w:rPr>
              <w:t>A clause specifically fixing the onus on the Insurer to deny or repudiate a claim.</w:t>
            </w:r>
          </w:p>
          <w:p w:rsidR="00D007B3" w:rsidRPr="00E60BE4" w:rsidRDefault="00D007B3" w:rsidP="00D007B3">
            <w:pPr>
              <w:pStyle w:val="ListParagraph"/>
              <w:ind w:left="602"/>
              <w:rPr>
                <w:rStyle w:val="Strong"/>
                <w:rFonts w:ascii="Bookman Old Style" w:hAnsi="Bookman Old Style" w:cs="Arial"/>
                <w:b w:val="0"/>
                <w:bCs w:val="0"/>
                <w:sz w:val="24"/>
                <w:szCs w:val="24"/>
              </w:rPr>
            </w:pPr>
          </w:p>
          <w:p w:rsidR="00D007B3" w:rsidRPr="00E60BE4" w:rsidRDefault="00D007B3" w:rsidP="00181FC7">
            <w:pPr>
              <w:pStyle w:val="ListParagraph"/>
              <w:numPr>
                <w:ilvl w:val="2"/>
                <w:numId w:val="6"/>
              </w:numPr>
              <w:ind w:left="602"/>
              <w:jc w:val="both"/>
              <w:rPr>
                <w:rFonts w:ascii="Bookman Old Style" w:hAnsi="Bookman Old Style" w:cs="Arial"/>
                <w:sz w:val="24"/>
                <w:szCs w:val="24"/>
              </w:rPr>
            </w:pPr>
            <w:r w:rsidRPr="00E60BE4">
              <w:rPr>
                <w:rStyle w:val="Strong"/>
                <w:rFonts w:ascii="Bookman Old Style" w:hAnsi="Bookman Old Style" w:cs="Arial"/>
                <w:b w:val="0"/>
                <w:bCs w:val="0"/>
                <w:sz w:val="24"/>
                <w:szCs w:val="24"/>
                <w:lang w:val="en-GB"/>
              </w:rPr>
              <w:t>A clause enabling insurer to inspect the premises of the Network Provider at any time without prior intimation.</w:t>
            </w:r>
          </w:p>
          <w:p w:rsidR="00D007B3" w:rsidRPr="00E60BE4" w:rsidRDefault="00D007B3" w:rsidP="00D007B3">
            <w:pPr>
              <w:jc w:val="both"/>
              <w:rPr>
                <w:rFonts w:ascii="Bookman Old Style" w:hAnsi="Bookman Old Style" w:cs="Arial"/>
                <w:sz w:val="24"/>
                <w:szCs w:val="24"/>
              </w:rPr>
            </w:pPr>
            <w:proofErr w:type="spellStart"/>
            <w:r w:rsidRPr="00E60BE4">
              <w:rPr>
                <w:rFonts w:ascii="Bookman Old Style" w:hAnsi="Bookman Old Style" w:cs="Arial"/>
                <w:sz w:val="24"/>
                <w:szCs w:val="24"/>
              </w:rPr>
              <w:t>c.Insurers</w:t>
            </w:r>
            <w:proofErr w:type="spellEnd"/>
            <w:r w:rsidRPr="00E60BE4">
              <w:rPr>
                <w:rFonts w:ascii="Bookman Old Style" w:hAnsi="Bookman Old Style" w:cs="Arial"/>
                <w:sz w:val="24"/>
                <w:szCs w:val="24"/>
              </w:rPr>
              <w:t xml:space="preserve"> and TPAs shall comply with standard clauses to be incorporated in all such agreements as specified by the Authority by way of guidelines. </w:t>
            </w:r>
          </w:p>
        </w:tc>
        <w:tc>
          <w:tcPr>
            <w:tcW w:w="850" w:type="pct"/>
          </w:tcPr>
          <w:p w:rsidR="00D007B3" w:rsidRPr="00E60BE4" w:rsidRDefault="00D007B3" w:rsidP="00D007B3">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lastRenderedPageBreak/>
              <w:t>Omitted</w:t>
            </w:r>
          </w:p>
        </w:tc>
        <w:tc>
          <w:tcPr>
            <w:tcW w:w="1211" w:type="pct"/>
          </w:tcPr>
          <w:p w:rsidR="00D007B3" w:rsidRPr="00E60BE4" w:rsidRDefault="00D007B3" w:rsidP="00E36798">
            <w:pPr>
              <w:autoSpaceDE w:val="0"/>
              <w:autoSpaceDN w:val="0"/>
              <w:adjustRightInd w:val="0"/>
              <w:jc w:val="both"/>
              <w:rPr>
                <w:rFonts w:ascii="Bookman Old Style" w:hAnsi="Bookman Old Style" w:cs="Arial"/>
                <w:sz w:val="24"/>
                <w:szCs w:val="24"/>
              </w:rPr>
            </w:pPr>
            <w:r w:rsidRPr="00E60BE4">
              <w:rPr>
                <w:rFonts w:ascii="Bookman Old Style" w:hAnsi="Bookman Old Style"/>
                <w:sz w:val="24"/>
                <w:szCs w:val="24"/>
              </w:rPr>
              <w:t xml:space="preserve">Agreements to be entered if any with the hospitals will be the operational prerogative of the insurers. </w:t>
            </w:r>
            <w:r w:rsidR="00FB614E" w:rsidRPr="00E60BE4">
              <w:rPr>
                <w:rFonts w:ascii="Bookman Old Style" w:hAnsi="Bookman Old Style"/>
                <w:sz w:val="24"/>
                <w:szCs w:val="24"/>
              </w:rPr>
              <w:t>C</w:t>
            </w:r>
            <w:r w:rsidRPr="00E60BE4">
              <w:rPr>
                <w:rFonts w:ascii="Bookman Old Style" w:hAnsi="Bookman Old Style"/>
                <w:sz w:val="24"/>
                <w:szCs w:val="24"/>
              </w:rPr>
              <w:t xml:space="preserve">ontracting parties </w:t>
            </w:r>
            <w:r w:rsidR="00E36798">
              <w:rPr>
                <w:rFonts w:ascii="Bookman Old Style" w:hAnsi="Bookman Old Style"/>
                <w:sz w:val="24"/>
                <w:szCs w:val="24"/>
              </w:rPr>
              <w:t xml:space="preserve">shall </w:t>
            </w:r>
            <w:r w:rsidRPr="00E60BE4">
              <w:rPr>
                <w:rFonts w:ascii="Bookman Old Style" w:hAnsi="Bookman Old Style"/>
                <w:sz w:val="24"/>
                <w:szCs w:val="24"/>
              </w:rPr>
              <w:t>decide the terms of agreement. We have already proposed to stipulate that the insurers shall ensure availability of cashless</w:t>
            </w:r>
            <w:r w:rsidR="00E36798">
              <w:rPr>
                <w:rFonts w:ascii="Bookman Old Style" w:hAnsi="Bookman Old Style"/>
                <w:sz w:val="24"/>
                <w:szCs w:val="24"/>
              </w:rPr>
              <w:t xml:space="preserve"> services to policyholders</w:t>
            </w:r>
            <w:r w:rsidRPr="00E60BE4">
              <w:rPr>
                <w:rFonts w:ascii="Bookman Old Style" w:hAnsi="Bookman Old Style"/>
                <w:sz w:val="24"/>
                <w:szCs w:val="24"/>
              </w:rPr>
              <w:t xml:space="preserve">. </w:t>
            </w:r>
          </w:p>
        </w:tc>
      </w:tr>
      <w:tr w:rsidR="00D007B3" w:rsidRPr="00E60BE4" w:rsidTr="009C0354">
        <w:tc>
          <w:tcPr>
            <w:tcW w:w="219" w:type="pct"/>
          </w:tcPr>
          <w:p w:rsidR="00D007B3" w:rsidRPr="00E60BE4" w:rsidRDefault="009C6D81"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2</w:t>
            </w:r>
            <w:r w:rsidR="008D51C0">
              <w:rPr>
                <w:rFonts w:ascii="Bookman Old Style" w:hAnsi="Bookman Old Style" w:cs="Arial"/>
                <w:sz w:val="24"/>
                <w:szCs w:val="24"/>
              </w:rPr>
              <w:t>4</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aa</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Regulation 31(d)</w:t>
            </w:r>
          </w:p>
          <w:p w:rsidR="00D007B3" w:rsidRPr="00E60BE4" w:rsidRDefault="00D007B3" w:rsidP="00D007B3">
            <w:pPr>
              <w:autoSpaceDE w:val="0"/>
              <w:autoSpaceDN w:val="0"/>
              <w:adjustRightInd w:val="0"/>
              <w:rPr>
                <w:rFonts w:ascii="Bookman Old Style" w:hAnsi="Bookman Old Style" w:cs="Arial"/>
                <w:sz w:val="24"/>
                <w:szCs w:val="24"/>
              </w:rPr>
            </w:pPr>
          </w:p>
        </w:tc>
        <w:tc>
          <w:tcPr>
            <w:tcW w:w="1695" w:type="pct"/>
          </w:tcPr>
          <w:p w:rsidR="00D007B3" w:rsidRPr="00E60BE4" w:rsidRDefault="00D007B3" w:rsidP="00D007B3">
            <w:pPr>
              <w:jc w:val="both"/>
              <w:rPr>
                <w:rFonts w:ascii="Bookman Old Style" w:hAnsi="Bookman Old Style" w:cs="Arial"/>
                <w:sz w:val="24"/>
                <w:szCs w:val="24"/>
              </w:rPr>
            </w:pPr>
            <w:r w:rsidRPr="00E60BE4">
              <w:rPr>
                <w:rFonts w:ascii="Bookman Old Style" w:hAnsi="Bookman Old Style" w:cs="Arial"/>
                <w:sz w:val="24"/>
                <w:szCs w:val="24"/>
              </w:rPr>
              <w:t xml:space="preserve">The insurance company shall endeavour to enter into Agreements with adequate number of both public and private sector network providers across the geographical spread. The copy of the agreement shall be maintained by the Insurer for a period of not less than five years from the date of the expiry or termination of the agreement. </w:t>
            </w:r>
          </w:p>
        </w:tc>
        <w:tc>
          <w:tcPr>
            <w:tcW w:w="850" w:type="pct"/>
          </w:tcPr>
          <w:p w:rsidR="00D007B3" w:rsidRPr="00E60BE4" w:rsidRDefault="00D007B3" w:rsidP="00D007B3">
            <w:pPr>
              <w:pStyle w:val="PlainText"/>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t xml:space="preserve">“The Insurance Company shall endeavour to arrange adequate number of both public and private sector network providers across the geographical spread for </w:t>
            </w:r>
            <w:r w:rsidRPr="00E60BE4">
              <w:rPr>
                <w:rFonts w:ascii="Bookman Old Style" w:hAnsi="Bookman Old Style" w:cs="Times New Roman"/>
                <w:sz w:val="24"/>
                <w:szCs w:val="24"/>
                <w:lang w:val="en-GB"/>
              </w:rPr>
              <w:lastRenderedPageBreak/>
              <w:t>providing cashless facility”</w:t>
            </w:r>
          </w:p>
        </w:tc>
        <w:tc>
          <w:tcPr>
            <w:tcW w:w="1211" w:type="pct"/>
          </w:tcPr>
          <w:p w:rsidR="00D007B3" w:rsidRPr="00E60BE4" w:rsidRDefault="00D007B3"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lastRenderedPageBreak/>
              <w:t xml:space="preserve">Regulation is modified removing the requirement of maintaining a copy of the agreement by the Insurer for a period of not less than five years from the date of the expiry or termination of the agreement as it is operational matter. In the first part of the clause </w:t>
            </w:r>
            <w:r w:rsidRPr="00E60BE4">
              <w:rPr>
                <w:rFonts w:ascii="Bookman Old Style" w:hAnsi="Bookman Old Style" w:cs="Arial"/>
                <w:sz w:val="24"/>
                <w:szCs w:val="24"/>
              </w:rPr>
              <w:lastRenderedPageBreak/>
              <w:t xml:space="preserve">reference to the word ‘agreements’ is replaced with the word ‘arrange’.   </w:t>
            </w:r>
          </w:p>
        </w:tc>
      </w:tr>
      <w:tr w:rsidR="00D007B3" w:rsidRPr="00E60BE4" w:rsidTr="009C0354">
        <w:tc>
          <w:tcPr>
            <w:tcW w:w="219" w:type="pct"/>
          </w:tcPr>
          <w:p w:rsidR="00D007B3" w:rsidRPr="00E60BE4" w:rsidRDefault="007F2709" w:rsidP="0012461F">
            <w:pPr>
              <w:autoSpaceDE w:val="0"/>
              <w:autoSpaceDN w:val="0"/>
              <w:adjustRightInd w:val="0"/>
              <w:rPr>
                <w:rFonts w:ascii="Bookman Old Style" w:hAnsi="Bookman Old Style" w:cs="Arial"/>
                <w:sz w:val="24"/>
                <w:szCs w:val="24"/>
              </w:rPr>
            </w:pPr>
            <w:r>
              <w:rPr>
                <w:rFonts w:ascii="Bookman Old Style" w:hAnsi="Bookman Old Style" w:cs="Arial"/>
                <w:sz w:val="24"/>
                <w:szCs w:val="24"/>
              </w:rPr>
              <w:lastRenderedPageBreak/>
              <w:t>2</w:t>
            </w:r>
            <w:r w:rsidR="008D51C0">
              <w:rPr>
                <w:rFonts w:ascii="Bookman Old Style" w:hAnsi="Bookman Old Style" w:cs="Arial"/>
                <w:sz w:val="24"/>
                <w:szCs w:val="24"/>
              </w:rPr>
              <w:t>5</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bb</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Omission of Regulation 35 (b)</w:t>
            </w:r>
          </w:p>
        </w:tc>
        <w:tc>
          <w:tcPr>
            <w:tcW w:w="1695" w:type="pct"/>
          </w:tcPr>
          <w:p w:rsidR="00D007B3" w:rsidRPr="00E60BE4" w:rsidRDefault="00D007B3" w:rsidP="00D007B3">
            <w:pPr>
              <w:pStyle w:val="PlainText"/>
              <w:spacing w:after="200"/>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t>The respective claim settlement files shall be handed over to the insurer within 15 days thereof.</w:t>
            </w:r>
          </w:p>
        </w:tc>
        <w:tc>
          <w:tcPr>
            <w:tcW w:w="850" w:type="pct"/>
          </w:tcPr>
          <w:p w:rsidR="00D007B3" w:rsidRPr="00E60BE4" w:rsidRDefault="00D007B3" w:rsidP="00D007B3">
            <w:pPr>
              <w:pStyle w:val="PlainText"/>
              <w:spacing w:after="200"/>
              <w:jc w:val="both"/>
              <w:rPr>
                <w:rFonts w:ascii="Bookman Old Style" w:hAnsi="Bookman Old Style" w:cs="Arial"/>
                <w:sz w:val="24"/>
                <w:szCs w:val="24"/>
              </w:rPr>
            </w:pPr>
            <w:r w:rsidRPr="00E60BE4">
              <w:rPr>
                <w:rFonts w:ascii="Bookman Old Style" w:hAnsi="Bookman Old Style" w:cs="Arial"/>
                <w:sz w:val="24"/>
                <w:szCs w:val="24"/>
              </w:rPr>
              <w:t>Omitted</w:t>
            </w:r>
          </w:p>
        </w:tc>
        <w:tc>
          <w:tcPr>
            <w:tcW w:w="1211" w:type="pct"/>
          </w:tcPr>
          <w:p w:rsidR="00D007B3" w:rsidRPr="00E60BE4" w:rsidRDefault="00D007B3" w:rsidP="00BC4C34">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This is operational matter</w:t>
            </w:r>
            <w:r w:rsidR="00BC4C34">
              <w:rPr>
                <w:rFonts w:ascii="Bookman Old Style" w:hAnsi="Bookman Old Style" w:cs="Arial"/>
                <w:sz w:val="24"/>
                <w:szCs w:val="24"/>
              </w:rPr>
              <w:t xml:space="preserve"> to be decided by the contracting parties</w:t>
            </w:r>
            <w:r w:rsidRPr="00E60BE4">
              <w:rPr>
                <w:rFonts w:ascii="Bookman Old Style" w:hAnsi="Bookman Old Style" w:cs="Arial"/>
                <w:sz w:val="24"/>
                <w:szCs w:val="24"/>
              </w:rPr>
              <w:t>. Hence, proposed to be omitted</w:t>
            </w:r>
          </w:p>
        </w:tc>
      </w:tr>
      <w:tr w:rsidR="00D007B3" w:rsidRPr="00E60BE4" w:rsidTr="009C0354">
        <w:tc>
          <w:tcPr>
            <w:tcW w:w="219" w:type="pct"/>
          </w:tcPr>
          <w:p w:rsidR="00D007B3" w:rsidRPr="00E60BE4" w:rsidRDefault="007F2709"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r w:rsidR="008D51C0">
              <w:rPr>
                <w:rFonts w:ascii="Bookman Old Style" w:hAnsi="Bookman Old Style" w:cs="Arial"/>
                <w:sz w:val="24"/>
                <w:szCs w:val="24"/>
              </w:rPr>
              <w:t>6</w:t>
            </w:r>
          </w:p>
        </w:tc>
        <w:tc>
          <w:tcPr>
            <w:tcW w:w="452"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2(</w:t>
            </w:r>
            <w:r w:rsidR="008D51C0">
              <w:rPr>
                <w:rFonts w:ascii="Bookman Old Style" w:hAnsi="Bookman Old Style" w:cs="Arial"/>
                <w:sz w:val="24"/>
                <w:szCs w:val="24"/>
              </w:rPr>
              <w:t>cc</w:t>
            </w:r>
            <w:r w:rsidRPr="00E60BE4">
              <w:rPr>
                <w:rFonts w:ascii="Bookman Old Style" w:hAnsi="Bookman Old Style" w:cs="Arial"/>
                <w:sz w:val="24"/>
                <w:szCs w:val="24"/>
              </w:rPr>
              <w:t>)</w:t>
            </w:r>
          </w:p>
        </w:tc>
        <w:tc>
          <w:tcPr>
            <w:tcW w:w="574" w:type="pct"/>
          </w:tcPr>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D007B3" w:rsidRPr="00E60BE4" w:rsidRDefault="00D007B3" w:rsidP="00D007B3">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Clause 4 of Schedule –I</w:t>
            </w:r>
          </w:p>
          <w:p w:rsidR="00D007B3" w:rsidRPr="00E60BE4" w:rsidRDefault="00D007B3" w:rsidP="00C26276">
            <w:pPr>
              <w:autoSpaceDE w:val="0"/>
              <w:autoSpaceDN w:val="0"/>
              <w:adjustRightInd w:val="0"/>
              <w:jc w:val="center"/>
              <w:rPr>
                <w:rFonts w:ascii="Bookman Old Style" w:hAnsi="Bookman Old Style" w:cs="Arial"/>
                <w:sz w:val="24"/>
                <w:szCs w:val="24"/>
              </w:rPr>
            </w:pPr>
          </w:p>
        </w:tc>
        <w:tc>
          <w:tcPr>
            <w:tcW w:w="1695" w:type="pct"/>
          </w:tcPr>
          <w:p w:rsidR="00D007B3" w:rsidRPr="00E60BE4" w:rsidRDefault="00D007B3" w:rsidP="00D007B3">
            <w:pPr>
              <w:pStyle w:val="PlainText"/>
              <w:spacing w:after="200"/>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t xml:space="preserve">In case insurer is willing to consider the proposal for portability even if the policyholder fails to approach insurer at least 45 days before the renewal date, it is free to do so. </w:t>
            </w:r>
          </w:p>
          <w:p w:rsidR="00D007B3" w:rsidRPr="00E60BE4" w:rsidRDefault="00D007B3" w:rsidP="00D007B3">
            <w:pPr>
              <w:pStyle w:val="PlainText"/>
              <w:spacing w:after="200"/>
              <w:jc w:val="both"/>
              <w:rPr>
                <w:rFonts w:ascii="Bookman Old Style" w:hAnsi="Bookman Old Style" w:cs="Times New Roman"/>
                <w:sz w:val="24"/>
                <w:szCs w:val="24"/>
                <w:lang w:val="en-GB"/>
              </w:rPr>
            </w:pPr>
          </w:p>
        </w:tc>
        <w:tc>
          <w:tcPr>
            <w:tcW w:w="850" w:type="pct"/>
          </w:tcPr>
          <w:p w:rsidR="00D007B3" w:rsidRPr="00E60BE4" w:rsidRDefault="00D007B3" w:rsidP="00D007B3">
            <w:pPr>
              <w:pStyle w:val="PlainText"/>
              <w:spacing w:after="200"/>
              <w:jc w:val="both"/>
              <w:rPr>
                <w:rFonts w:ascii="Bookman Old Style" w:hAnsi="Bookman Old Style" w:cs="Times New Roman"/>
                <w:sz w:val="24"/>
                <w:szCs w:val="24"/>
                <w:lang w:val="en-GB"/>
              </w:rPr>
            </w:pPr>
            <w:r w:rsidRPr="00E60BE4">
              <w:rPr>
                <w:rFonts w:ascii="Bookman Old Style" w:hAnsi="Bookman Old Style" w:cs="Times New Roman"/>
                <w:sz w:val="24"/>
                <w:szCs w:val="24"/>
                <w:lang w:val="en-GB"/>
              </w:rPr>
              <w:t>“Provided where the proposal for portability is considered, it is the responsibility of the insurer to obtain the entire claim history of prior policy years from the existing insurer</w:t>
            </w:r>
            <w:r w:rsidR="00BC4C34">
              <w:rPr>
                <w:rFonts w:ascii="Bookman Old Style" w:hAnsi="Bookman Old Style" w:cs="Times New Roman"/>
                <w:sz w:val="24"/>
                <w:szCs w:val="24"/>
                <w:lang w:val="en-GB"/>
              </w:rPr>
              <w:t>(s)</w:t>
            </w:r>
            <w:r w:rsidRPr="00E60BE4">
              <w:rPr>
                <w:rFonts w:ascii="Bookman Old Style" w:hAnsi="Bookman Old Style" w:cs="Times New Roman"/>
                <w:sz w:val="24"/>
                <w:szCs w:val="24"/>
                <w:lang w:val="en-GB"/>
              </w:rPr>
              <w:t xml:space="preserve">. No claim shall be repudiated on the grounds of non-disclosure of any of the claims already preferred or made with the existing insurers.”  </w:t>
            </w:r>
          </w:p>
        </w:tc>
        <w:tc>
          <w:tcPr>
            <w:tcW w:w="1211" w:type="pct"/>
          </w:tcPr>
          <w:p w:rsidR="00D007B3" w:rsidRPr="00E60BE4" w:rsidRDefault="00D007B3" w:rsidP="00D007B3">
            <w:pPr>
              <w:autoSpaceDE w:val="0"/>
              <w:autoSpaceDN w:val="0"/>
              <w:adjustRightInd w:val="0"/>
              <w:jc w:val="both"/>
              <w:rPr>
                <w:rFonts w:ascii="Bookman Old Style" w:hAnsi="Bookman Old Style" w:cs="Times New Roman"/>
                <w:sz w:val="24"/>
                <w:szCs w:val="24"/>
                <w:lang w:val="en-GB"/>
              </w:rPr>
            </w:pPr>
            <w:r w:rsidRPr="00E60BE4">
              <w:rPr>
                <w:rFonts w:ascii="Bookman Old Style" w:hAnsi="Bookman Old Style" w:cs="Arial"/>
                <w:sz w:val="24"/>
                <w:szCs w:val="24"/>
              </w:rPr>
              <w:t xml:space="preserve">Regulation is modified to ensure that after portability, </w:t>
            </w:r>
            <w:r w:rsidRPr="00E60BE4">
              <w:rPr>
                <w:rFonts w:ascii="Bookman Old Style" w:hAnsi="Bookman Old Style" w:cs="Times New Roman"/>
                <w:sz w:val="24"/>
                <w:szCs w:val="24"/>
                <w:lang w:val="en-GB"/>
              </w:rPr>
              <w:t xml:space="preserve">no subsequent claim related to the claims already made with the existing insurer shall be repudiated by the new insurer under “non-disclosure” clause. </w:t>
            </w:r>
          </w:p>
        </w:tc>
      </w:tr>
      <w:tr w:rsidR="0012461F" w:rsidRPr="00E60BE4" w:rsidTr="009C0354">
        <w:tc>
          <w:tcPr>
            <w:tcW w:w="219" w:type="pct"/>
          </w:tcPr>
          <w:p w:rsidR="0012461F" w:rsidRPr="00E60BE4" w:rsidRDefault="007F2709" w:rsidP="008D51C0">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r w:rsidR="008D51C0">
              <w:rPr>
                <w:rFonts w:ascii="Bookman Old Style" w:hAnsi="Bookman Old Style" w:cs="Arial"/>
                <w:sz w:val="24"/>
                <w:szCs w:val="24"/>
              </w:rPr>
              <w:t>7</w:t>
            </w:r>
          </w:p>
        </w:tc>
        <w:tc>
          <w:tcPr>
            <w:tcW w:w="452" w:type="pct"/>
          </w:tcPr>
          <w:p w:rsidR="0012461F" w:rsidRPr="00E60BE4" w:rsidRDefault="008D51C0"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2(dd</w:t>
            </w:r>
            <w:r w:rsidR="0012461F" w:rsidRPr="00E60BE4">
              <w:rPr>
                <w:rFonts w:ascii="Bookman Old Style" w:hAnsi="Bookman Old Style" w:cs="Arial"/>
                <w:sz w:val="24"/>
                <w:szCs w:val="24"/>
              </w:rPr>
              <w:t>)</w:t>
            </w:r>
          </w:p>
        </w:tc>
        <w:tc>
          <w:tcPr>
            <w:tcW w:w="574" w:type="pct"/>
          </w:tcPr>
          <w:p w:rsidR="00C26276" w:rsidRPr="00E60BE4" w:rsidRDefault="00C26276" w:rsidP="00C26276">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C26276" w:rsidRPr="00E60BE4" w:rsidRDefault="00C26276" w:rsidP="00C26276">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Clause 7 of Schedule –I</w:t>
            </w:r>
          </w:p>
          <w:p w:rsidR="0012461F" w:rsidRPr="00E60BE4" w:rsidRDefault="0012461F" w:rsidP="00D007B3">
            <w:pPr>
              <w:autoSpaceDE w:val="0"/>
              <w:autoSpaceDN w:val="0"/>
              <w:adjustRightInd w:val="0"/>
              <w:jc w:val="center"/>
              <w:rPr>
                <w:rFonts w:ascii="Bookman Old Style" w:hAnsi="Bookman Old Style" w:cs="Arial"/>
                <w:sz w:val="24"/>
                <w:szCs w:val="24"/>
              </w:rPr>
            </w:pPr>
          </w:p>
        </w:tc>
        <w:tc>
          <w:tcPr>
            <w:tcW w:w="1695" w:type="pct"/>
          </w:tcPr>
          <w:p w:rsidR="00C26276" w:rsidRPr="00E60BE4" w:rsidRDefault="00C26276" w:rsidP="007F2709">
            <w:pPr>
              <w:widowControl w:val="0"/>
              <w:overflowPunct w:val="0"/>
              <w:autoSpaceDE w:val="0"/>
              <w:autoSpaceDN w:val="0"/>
              <w:adjustRightInd w:val="0"/>
              <w:ind w:right="207"/>
              <w:jc w:val="both"/>
              <w:rPr>
                <w:rFonts w:ascii="Bookman Old Style" w:hAnsi="Bookman Old Style" w:cs="Arial"/>
                <w:sz w:val="24"/>
                <w:szCs w:val="24"/>
              </w:rPr>
            </w:pPr>
            <w:r w:rsidRPr="00E60BE4">
              <w:rPr>
                <w:rFonts w:ascii="Bookman Old Style" w:hAnsi="Bookman Old Style" w:cs="Arial"/>
                <w:sz w:val="24"/>
                <w:szCs w:val="24"/>
              </w:rPr>
              <w:t xml:space="preserve">On receipt of intimation referred under Clause (1) above, the insurance company shall furnish the applicant, the Portability Form as set out in Annexure-I to these guidelines </w:t>
            </w:r>
            <w:r w:rsidRPr="00E60BE4">
              <w:rPr>
                <w:rFonts w:ascii="Bookman Old Style" w:hAnsi="Bookman Old Style" w:cs="Arial"/>
                <w:sz w:val="24"/>
                <w:szCs w:val="24"/>
              </w:rPr>
              <w:lastRenderedPageBreak/>
              <w:t>together with a proposal form and relevant product literature on various health insurance products which could be offered.</w:t>
            </w:r>
          </w:p>
          <w:p w:rsidR="0012461F" w:rsidRPr="00E60BE4" w:rsidRDefault="0012461F" w:rsidP="007F2709">
            <w:pPr>
              <w:pStyle w:val="PlainText"/>
              <w:spacing w:after="200"/>
              <w:jc w:val="both"/>
              <w:rPr>
                <w:rFonts w:ascii="Bookman Old Style" w:hAnsi="Bookman Old Style" w:cs="Times New Roman"/>
                <w:sz w:val="24"/>
                <w:szCs w:val="24"/>
                <w:lang w:val="en-GB"/>
              </w:rPr>
            </w:pPr>
          </w:p>
        </w:tc>
        <w:tc>
          <w:tcPr>
            <w:tcW w:w="850" w:type="pct"/>
          </w:tcPr>
          <w:p w:rsidR="0012461F" w:rsidRPr="00E60BE4" w:rsidRDefault="00C26276" w:rsidP="007F2709">
            <w:pPr>
              <w:widowControl w:val="0"/>
              <w:overflowPunct w:val="0"/>
              <w:autoSpaceDE w:val="0"/>
              <w:autoSpaceDN w:val="0"/>
              <w:adjustRightInd w:val="0"/>
              <w:ind w:right="207"/>
              <w:jc w:val="both"/>
              <w:rPr>
                <w:rFonts w:ascii="Bookman Old Style" w:hAnsi="Bookman Old Style" w:cs="Arial"/>
                <w:sz w:val="24"/>
                <w:szCs w:val="24"/>
              </w:rPr>
            </w:pPr>
            <w:r w:rsidRPr="00E60BE4">
              <w:rPr>
                <w:rFonts w:ascii="Bookman Old Style" w:hAnsi="Bookman Old Style" w:cs="Arial"/>
                <w:sz w:val="24"/>
                <w:szCs w:val="24"/>
              </w:rPr>
              <w:lastRenderedPageBreak/>
              <w:t xml:space="preserve">On receipt of intimation referred under Clause (1) above, the insurance </w:t>
            </w:r>
            <w:r w:rsidRPr="00E60BE4">
              <w:rPr>
                <w:rFonts w:ascii="Bookman Old Style" w:hAnsi="Bookman Old Style" w:cs="Arial"/>
                <w:sz w:val="24"/>
                <w:szCs w:val="24"/>
              </w:rPr>
              <w:lastRenderedPageBreak/>
              <w:t>company shall furnish the applicant, the Portability Form as set out in Annexure-I together with a proposal form and relevant product literature on various health insurance products which could be offered.</w:t>
            </w:r>
          </w:p>
        </w:tc>
        <w:tc>
          <w:tcPr>
            <w:tcW w:w="1211" w:type="pct"/>
          </w:tcPr>
          <w:p w:rsidR="0012461F" w:rsidRPr="00E60BE4" w:rsidRDefault="00754234" w:rsidP="00754234">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lastRenderedPageBreak/>
              <w:t>To improve clarity, the phrase ‘to these guidelines’ after Annexure-I is proposed to  be deleted.</w:t>
            </w:r>
          </w:p>
        </w:tc>
      </w:tr>
      <w:tr w:rsidR="00413F74" w:rsidRPr="00E60BE4" w:rsidTr="009C0354">
        <w:tc>
          <w:tcPr>
            <w:tcW w:w="219" w:type="pct"/>
          </w:tcPr>
          <w:p w:rsidR="00413F74" w:rsidRPr="008F0BE4" w:rsidRDefault="00413F74" w:rsidP="00413F74">
            <w:pPr>
              <w:autoSpaceDE w:val="0"/>
              <w:autoSpaceDN w:val="0"/>
              <w:adjustRightInd w:val="0"/>
              <w:jc w:val="center"/>
              <w:rPr>
                <w:rFonts w:ascii="Bookman Old Style" w:hAnsi="Bookman Old Style" w:cs="Arial"/>
                <w:sz w:val="24"/>
                <w:szCs w:val="24"/>
              </w:rPr>
            </w:pPr>
            <w:r w:rsidRPr="008F0BE4">
              <w:rPr>
                <w:rFonts w:ascii="Bookman Old Style" w:hAnsi="Bookman Old Style" w:cs="Arial"/>
                <w:sz w:val="24"/>
                <w:szCs w:val="24"/>
              </w:rPr>
              <w:lastRenderedPageBreak/>
              <w:t>2</w:t>
            </w:r>
            <w:r w:rsidR="008D51C0" w:rsidRPr="008F0BE4">
              <w:rPr>
                <w:rFonts w:ascii="Bookman Old Style" w:hAnsi="Bookman Old Style" w:cs="Arial"/>
                <w:sz w:val="24"/>
                <w:szCs w:val="24"/>
              </w:rPr>
              <w:t>8</w:t>
            </w:r>
          </w:p>
        </w:tc>
        <w:tc>
          <w:tcPr>
            <w:tcW w:w="452" w:type="pct"/>
          </w:tcPr>
          <w:p w:rsidR="00413F74" w:rsidRPr="008F0BE4" w:rsidRDefault="008D51C0" w:rsidP="00413F74">
            <w:pPr>
              <w:autoSpaceDE w:val="0"/>
              <w:autoSpaceDN w:val="0"/>
              <w:adjustRightInd w:val="0"/>
              <w:jc w:val="center"/>
              <w:rPr>
                <w:rFonts w:ascii="Bookman Old Style" w:hAnsi="Bookman Old Style" w:cs="Arial"/>
                <w:sz w:val="24"/>
                <w:szCs w:val="24"/>
              </w:rPr>
            </w:pPr>
            <w:r w:rsidRPr="008F0BE4">
              <w:rPr>
                <w:rFonts w:ascii="Bookman Old Style" w:hAnsi="Bookman Old Style" w:cs="Arial"/>
                <w:sz w:val="24"/>
                <w:szCs w:val="24"/>
              </w:rPr>
              <w:t>2(</w:t>
            </w:r>
            <w:proofErr w:type="spellStart"/>
            <w:r w:rsidRPr="008F0BE4">
              <w:rPr>
                <w:rFonts w:ascii="Bookman Old Style" w:hAnsi="Bookman Old Style" w:cs="Arial"/>
                <w:sz w:val="24"/>
                <w:szCs w:val="24"/>
              </w:rPr>
              <w:t>ee</w:t>
            </w:r>
            <w:proofErr w:type="spellEnd"/>
            <w:r w:rsidR="00413F74" w:rsidRPr="008F0BE4">
              <w:rPr>
                <w:rFonts w:ascii="Bookman Old Style" w:hAnsi="Bookman Old Style" w:cs="Arial"/>
                <w:sz w:val="24"/>
                <w:szCs w:val="24"/>
              </w:rPr>
              <w:t>)</w:t>
            </w:r>
          </w:p>
        </w:tc>
        <w:tc>
          <w:tcPr>
            <w:tcW w:w="574" w:type="pct"/>
          </w:tcPr>
          <w:p w:rsidR="00413F74" w:rsidRPr="008F0BE4" w:rsidRDefault="00413F74" w:rsidP="00413F74">
            <w:pPr>
              <w:autoSpaceDE w:val="0"/>
              <w:autoSpaceDN w:val="0"/>
              <w:adjustRightInd w:val="0"/>
              <w:jc w:val="center"/>
              <w:rPr>
                <w:rFonts w:ascii="Bookman Old Style" w:hAnsi="Bookman Old Style" w:cs="Arial"/>
                <w:sz w:val="24"/>
                <w:szCs w:val="24"/>
              </w:rPr>
            </w:pPr>
            <w:r w:rsidRPr="008F0BE4">
              <w:rPr>
                <w:rFonts w:ascii="Bookman Old Style" w:hAnsi="Bookman Old Style" w:cs="Arial"/>
                <w:sz w:val="24"/>
                <w:szCs w:val="24"/>
              </w:rPr>
              <w:t xml:space="preserve">Modification of </w:t>
            </w:r>
          </w:p>
          <w:p w:rsidR="00413F74" w:rsidRPr="008F0BE4" w:rsidRDefault="00413F74" w:rsidP="00413F74">
            <w:pPr>
              <w:autoSpaceDE w:val="0"/>
              <w:autoSpaceDN w:val="0"/>
              <w:adjustRightInd w:val="0"/>
              <w:jc w:val="center"/>
              <w:rPr>
                <w:rFonts w:ascii="Bookman Old Style" w:hAnsi="Bookman Old Style" w:cs="Arial"/>
                <w:sz w:val="24"/>
                <w:szCs w:val="24"/>
              </w:rPr>
            </w:pPr>
            <w:r w:rsidRPr="008F0BE4">
              <w:rPr>
                <w:rFonts w:ascii="Bookman Old Style" w:hAnsi="Bookman Old Style" w:cs="Arial"/>
                <w:sz w:val="24"/>
                <w:szCs w:val="24"/>
              </w:rPr>
              <w:t>Clause 9 of Schedule –I</w:t>
            </w:r>
          </w:p>
          <w:p w:rsidR="00413F74" w:rsidRPr="008F0BE4" w:rsidRDefault="00413F74" w:rsidP="00413F74">
            <w:pPr>
              <w:autoSpaceDE w:val="0"/>
              <w:autoSpaceDN w:val="0"/>
              <w:adjustRightInd w:val="0"/>
              <w:jc w:val="center"/>
              <w:rPr>
                <w:rFonts w:ascii="Bookman Old Style" w:hAnsi="Bookman Old Style" w:cs="Arial"/>
                <w:sz w:val="24"/>
                <w:szCs w:val="24"/>
              </w:rPr>
            </w:pPr>
          </w:p>
        </w:tc>
        <w:tc>
          <w:tcPr>
            <w:tcW w:w="1695" w:type="pct"/>
          </w:tcPr>
          <w:p w:rsidR="00413F74" w:rsidRPr="008F0BE4" w:rsidRDefault="00413F74" w:rsidP="00413F74">
            <w:pPr>
              <w:widowControl w:val="0"/>
              <w:overflowPunct w:val="0"/>
              <w:autoSpaceDE w:val="0"/>
              <w:autoSpaceDN w:val="0"/>
              <w:adjustRightInd w:val="0"/>
              <w:ind w:right="207"/>
              <w:jc w:val="both"/>
              <w:rPr>
                <w:rFonts w:ascii="Bookman Old Style" w:hAnsi="Bookman Old Style" w:cs="Arial"/>
                <w:sz w:val="24"/>
                <w:szCs w:val="24"/>
              </w:rPr>
            </w:pPr>
            <w:r w:rsidRPr="008F0BE4">
              <w:rPr>
                <w:rFonts w:ascii="Bookman Old Style" w:hAnsi="Bookman Old Style" w:cs="Arial"/>
                <w:sz w:val="24"/>
                <w:szCs w:val="24"/>
              </w:rPr>
              <w:t>On receipt of the Portability Form, the insurance company shall seek the necessary details of medical history and claim history of the concerned policyholder from the existing insurance company. This shall be done through the web portal of the IRDAI.</w:t>
            </w:r>
          </w:p>
          <w:p w:rsidR="00413F74" w:rsidRPr="008F0BE4" w:rsidRDefault="00413F74" w:rsidP="00413F74">
            <w:pPr>
              <w:widowControl w:val="0"/>
              <w:overflowPunct w:val="0"/>
              <w:autoSpaceDE w:val="0"/>
              <w:autoSpaceDN w:val="0"/>
              <w:adjustRightInd w:val="0"/>
              <w:ind w:right="207"/>
              <w:jc w:val="both"/>
              <w:rPr>
                <w:rFonts w:ascii="Bookman Old Style" w:hAnsi="Bookman Old Style" w:cs="Arial"/>
                <w:sz w:val="24"/>
                <w:szCs w:val="24"/>
              </w:rPr>
            </w:pPr>
          </w:p>
        </w:tc>
        <w:tc>
          <w:tcPr>
            <w:tcW w:w="850" w:type="pct"/>
          </w:tcPr>
          <w:p w:rsidR="00413F74" w:rsidRPr="00B041CA" w:rsidRDefault="00413F74" w:rsidP="00413F74">
            <w:pPr>
              <w:jc w:val="both"/>
              <w:rPr>
                <w:rFonts w:ascii="Bookman Old Style" w:hAnsi="Bookman Old Style" w:cs="Arial"/>
                <w:sz w:val="24"/>
                <w:szCs w:val="24"/>
              </w:rPr>
            </w:pPr>
            <w:r w:rsidRPr="00B041CA">
              <w:rPr>
                <w:rFonts w:ascii="Bookman Old Style" w:hAnsi="Bookman Old Style" w:cs="Arial"/>
                <w:sz w:val="24"/>
                <w:szCs w:val="24"/>
              </w:rPr>
              <w:t xml:space="preserve">Within 5 working days of receipt of the Portability Form, the insurance company shall seek the necessary details of medical history and claim history of the concerned policyholder from the existing insurance company. This shall be done </w:t>
            </w:r>
            <w:r w:rsidRPr="00B041CA">
              <w:rPr>
                <w:rFonts w:ascii="Bookman Old Style" w:hAnsi="Bookman Old Style" w:cs="Arial"/>
                <w:sz w:val="24"/>
                <w:szCs w:val="24"/>
              </w:rPr>
              <w:lastRenderedPageBreak/>
              <w:t>through the web portal being maintained by IIB.</w:t>
            </w:r>
          </w:p>
          <w:p w:rsidR="00413F74" w:rsidRPr="00E60BE4" w:rsidRDefault="00413F74" w:rsidP="00413F74">
            <w:pPr>
              <w:pStyle w:val="PlainText"/>
              <w:spacing w:after="200"/>
              <w:jc w:val="both"/>
              <w:rPr>
                <w:rFonts w:ascii="Bookman Old Style" w:hAnsi="Bookman Old Style" w:cs="Arial"/>
                <w:sz w:val="24"/>
                <w:szCs w:val="24"/>
              </w:rPr>
            </w:pPr>
          </w:p>
        </w:tc>
        <w:tc>
          <w:tcPr>
            <w:tcW w:w="1211" w:type="pct"/>
          </w:tcPr>
          <w:p w:rsidR="00413F74" w:rsidRPr="00E60BE4" w:rsidRDefault="00413F74" w:rsidP="00413F74">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lastRenderedPageBreak/>
              <w:t>In order to make it a time bound exercise, timelines have been prescribed</w:t>
            </w:r>
            <w:r w:rsidR="00312FD2">
              <w:rPr>
                <w:rFonts w:ascii="Bookman Old Style" w:hAnsi="Bookman Old Style" w:cs="Arial"/>
                <w:sz w:val="24"/>
                <w:szCs w:val="24"/>
              </w:rPr>
              <w:t xml:space="preserve"> for calling for claim details from the existing insurer by a porting-in insurer</w:t>
            </w:r>
            <w:r>
              <w:rPr>
                <w:rFonts w:ascii="Bookman Old Style" w:hAnsi="Bookman Old Style" w:cs="Arial"/>
                <w:sz w:val="24"/>
                <w:szCs w:val="24"/>
              </w:rPr>
              <w:t>.</w:t>
            </w:r>
          </w:p>
        </w:tc>
      </w:tr>
      <w:tr w:rsidR="0012461F" w:rsidRPr="00E60BE4" w:rsidTr="009C0354">
        <w:tc>
          <w:tcPr>
            <w:tcW w:w="219" w:type="pct"/>
          </w:tcPr>
          <w:p w:rsidR="0012461F" w:rsidRPr="00E60BE4" w:rsidRDefault="007F2709"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2</w:t>
            </w:r>
            <w:r w:rsidR="0012461F" w:rsidRPr="00E60BE4">
              <w:rPr>
                <w:rFonts w:ascii="Bookman Old Style" w:hAnsi="Bookman Old Style" w:cs="Arial"/>
                <w:sz w:val="24"/>
                <w:szCs w:val="24"/>
              </w:rPr>
              <w:t>9</w:t>
            </w:r>
          </w:p>
        </w:tc>
        <w:tc>
          <w:tcPr>
            <w:tcW w:w="452" w:type="pct"/>
          </w:tcPr>
          <w:p w:rsidR="0012461F" w:rsidRPr="00E60BE4" w:rsidRDefault="007F2709"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roofErr w:type="spellStart"/>
            <w:r>
              <w:rPr>
                <w:rFonts w:ascii="Bookman Old Style" w:hAnsi="Bookman Old Style" w:cs="Arial"/>
                <w:sz w:val="24"/>
                <w:szCs w:val="24"/>
              </w:rPr>
              <w:t>ff</w:t>
            </w:r>
            <w:proofErr w:type="spellEnd"/>
            <w:r w:rsidR="0012461F" w:rsidRPr="00E60BE4">
              <w:rPr>
                <w:rFonts w:ascii="Bookman Old Style" w:hAnsi="Bookman Old Style" w:cs="Arial"/>
                <w:sz w:val="24"/>
                <w:szCs w:val="24"/>
              </w:rPr>
              <w:t>)</w:t>
            </w:r>
          </w:p>
        </w:tc>
        <w:tc>
          <w:tcPr>
            <w:tcW w:w="574" w:type="pct"/>
          </w:tcPr>
          <w:p w:rsidR="00754234" w:rsidRPr="00E60BE4" w:rsidRDefault="00754234" w:rsidP="00754234">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754234" w:rsidRPr="00E60BE4" w:rsidRDefault="00754234" w:rsidP="00754234">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Clause 12 of Schedule –I</w:t>
            </w:r>
          </w:p>
          <w:p w:rsidR="0012461F" w:rsidRPr="00E60BE4" w:rsidRDefault="0012461F" w:rsidP="00D007B3">
            <w:pPr>
              <w:autoSpaceDE w:val="0"/>
              <w:autoSpaceDN w:val="0"/>
              <w:adjustRightInd w:val="0"/>
              <w:jc w:val="center"/>
              <w:rPr>
                <w:rFonts w:ascii="Bookman Old Style" w:hAnsi="Bookman Old Style" w:cs="Arial"/>
                <w:sz w:val="24"/>
                <w:szCs w:val="24"/>
              </w:rPr>
            </w:pPr>
          </w:p>
        </w:tc>
        <w:tc>
          <w:tcPr>
            <w:tcW w:w="1695" w:type="pct"/>
          </w:tcPr>
          <w:p w:rsidR="0012461F" w:rsidRPr="00E60BE4" w:rsidRDefault="00754234" w:rsidP="007F2709">
            <w:pPr>
              <w:widowControl w:val="0"/>
              <w:overflowPunct w:val="0"/>
              <w:autoSpaceDE w:val="0"/>
              <w:autoSpaceDN w:val="0"/>
              <w:adjustRightInd w:val="0"/>
              <w:ind w:right="207"/>
              <w:jc w:val="both"/>
              <w:rPr>
                <w:rFonts w:ascii="Bookman Old Style" w:hAnsi="Bookman Old Style" w:cs="Arial"/>
                <w:sz w:val="24"/>
                <w:szCs w:val="24"/>
              </w:rPr>
            </w:pPr>
            <w:r w:rsidRPr="00E60BE4">
              <w:rPr>
                <w:rFonts w:ascii="Bookman Old Style" w:hAnsi="Bookman Old Style" w:cs="Arial"/>
                <w:sz w:val="24"/>
                <w:szCs w:val="24"/>
              </w:rPr>
              <w:t>On receipt of the data from the existing insurance company, the new insurance company may underwrite the proposal and convey its decision to the policyholder in accordance with the Regulation 4 (6) of the IRDA (Protection of Policyholders’ interest) Regulations, 2002.</w:t>
            </w:r>
          </w:p>
        </w:tc>
        <w:tc>
          <w:tcPr>
            <w:tcW w:w="850" w:type="pct"/>
          </w:tcPr>
          <w:p w:rsidR="0012461F" w:rsidRPr="00E60BE4" w:rsidRDefault="00754234" w:rsidP="007F2709">
            <w:pPr>
              <w:pStyle w:val="PlainText"/>
              <w:spacing w:after="200"/>
              <w:jc w:val="both"/>
              <w:rPr>
                <w:rFonts w:ascii="Bookman Old Style" w:hAnsi="Bookman Old Style" w:cs="Arial"/>
                <w:sz w:val="24"/>
                <w:szCs w:val="24"/>
              </w:rPr>
            </w:pPr>
            <w:r w:rsidRPr="00E60BE4">
              <w:rPr>
                <w:rFonts w:ascii="Bookman Old Style" w:hAnsi="Bookman Old Style" w:cs="Arial"/>
                <w:sz w:val="24"/>
                <w:szCs w:val="24"/>
              </w:rPr>
              <w:t>On receipt of the data from the existing insurance company, the new insurance company may underwrite the proposal and convey its decision to the policyholder in accordance with the Regulation 8 (6) of the IRDAI (Protection of Policyholders’ interests) Regulations, 2017.</w:t>
            </w:r>
          </w:p>
        </w:tc>
        <w:tc>
          <w:tcPr>
            <w:tcW w:w="1211" w:type="pct"/>
          </w:tcPr>
          <w:p w:rsidR="0012461F" w:rsidRPr="00E60BE4" w:rsidRDefault="00754234" w:rsidP="00D007B3">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 xml:space="preserve">Amended IRDAI (PPHI) Regulations along with applicable provisions </w:t>
            </w:r>
            <w:r w:rsidR="00413F74">
              <w:rPr>
                <w:rFonts w:ascii="Bookman Old Style" w:hAnsi="Bookman Old Style" w:cs="Arial"/>
                <w:sz w:val="24"/>
                <w:szCs w:val="24"/>
              </w:rPr>
              <w:t xml:space="preserve">is </w:t>
            </w:r>
            <w:r w:rsidRPr="00E60BE4">
              <w:rPr>
                <w:rFonts w:ascii="Bookman Old Style" w:hAnsi="Bookman Old Style" w:cs="Arial"/>
                <w:sz w:val="24"/>
                <w:szCs w:val="24"/>
              </w:rPr>
              <w:t>now specified.</w:t>
            </w:r>
          </w:p>
        </w:tc>
      </w:tr>
      <w:tr w:rsidR="00F247DC" w:rsidRPr="00E60BE4" w:rsidTr="009C0354">
        <w:tc>
          <w:tcPr>
            <w:tcW w:w="219" w:type="pct"/>
          </w:tcPr>
          <w:p w:rsidR="00F247DC" w:rsidRDefault="00F247DC" w:rsidP="00954DA8">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30</w:t>
            </w:r>
          </w:p>
        </w:tc>
        <w:tc>
          <w:tcPr>
            <w:tcW w:w="452" w:type="pct"/>
          </w:tcPr>
          <w:p w:rsidR="00F247DC" w:rsidRDefault="00F247DC" w:rsidP="00954DA8">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2(gg)</w:t>
            </w:r>
          </w:p>
        </w:tc>
        <w:tc>
          <w:tcPr>
            <w:tcW w:w="574" w:type="pct"/>
          </w:tcPr>
          <w:p w:rsidR="00F247DC" w:rsidRPr="00E60BE4" w:rsidRDefault="00F247DC" w:rsidP="00954DA8">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Insertion of Clause 20 in Schedule-I</w:t>
            </w:r>
          </w:p>
        </w:tc>
        <w:tc>
          <w:tcPr>
            <w:tcW w:w="1695" w:type="pct"/>
          </w:tcPr>
          <w:p w:rsidR="00F247DC" w:rsidRPr="00E60BE4" w:rsidRDefault="00F247DC" w:rsidP="00954DA8">
            <w:pPr>
              <w:jc w:val="both"/>
              <w:rPr>
                <w:rFonts w:ascii="Bookman Old Style" w:hAnsi="Bookman Old Style" w:cs="Arial"/>
                <w:sz w:val="24"/>
                <w:szCs w:val="24"/>
              </w:rPr>
            </w:pPr>
          </w:p>
        </w:tc>
        <w:tc>
          <w:tcPr>
            <w:tcW w:w="850" w:type="pct"/>
          </w:tcPr>
          <w:p w:rsidR="00F247DC" w:rsidRPr="00423E85" w:rsidRDefault="00F247DC" w:rsidP="00954DA8">
            <w:pPr>
              <w:jc w:val="both"/>
              <w:rPr>
                <w:rFonts w:ascii="Bookman Old Style" w:hAnsi="Bookman Old Style" w:cs="Arial"/>
                <w:sz w:val="24"/>
                <w:szCs w:val="24"/>
              </w:rPr>
            </w:pPr>
            <w:r w:rsidRPr="00423E85">
              <w:rPr>
                <w:rFonts w:ascii="Bookman Old Style" w:hAnsi="Bookman Old Style" w:cs="Arial"/>
                <w:sz w:val="24"/>
                <w:szCs w:val="24"/>
              </w:rPr>
              <w:t xml:space="preserve">The websites of the insurers shall contain information on sequence of steps that shall be followed along with the responsibilities of policyholders </w:t>
            </w:r>
            <w:r w:rsidRPr="00423E85">
              <w:rPr>
                <w:rFonts w:ascii="Bookman Old Style" w:hAnsi="Bookman Old Style" w:cs="Arial"/>
                <w:sz w:val="24"/>
                <w:szCs w:val="24"/>
              </w:rPr>
              <w:lastRenderedPageBreak/>
              <w:t>during porting of the health insurance policy</w:t>
            </w:r>
          </w:p>
          <w:p w:rsidR="00F247DC" w:rsidRPr="00E60BE4" w:rsidRDefault="00F247DC" w:rsidP="00954DA8">
            <w:pPr>
              <w:pStyle w:val="PlainText"/>
              <w:jc w:val="both"/>
              <w:rPr>
                <w:rFonts w:ascii="Bookman Old Style" w:hAnsi="Bookman Old Style" w:cs="Times New Roman"/>
                <w:sz w:val="24"/>
                <w:szCs w:val="24"/>
              </w:rPr>
            </w:pPr>
          </w:p>
        </w:tc>
        <w:tc>
          <w:tcPr>
            <w:tcW w:w="1211" w:type="pct"/>
          </w:tcPr>
          <w:p w:rsidR="00F247DC" w:rsidRPr="00E60BE4" w:rsidRDefault="00F247DC" w:rsidP="00312FD2">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lastRenderedPageBreak/>
              <w:t>To bring in transparency and for policyholder education</w:t>
            </w:r>
            <w:r w:rsidR="00312FD2">
              <w:rPr>
                <w:rFonts w:ascii="Bookman Old Style" w:hAnsi="Bookman Old Style" w:cs="Arial"/>
                <w:sz w:val="24"/>
                <w:szCs w:val="24"/>
              </w:rPr>
              <w:t>, procedure on porting-in is proposed to be mandated to disclose in the websites.</w:t>
            </w:r>
          </w:p>
        </w:tc>
      </w:tr>
      <w:tr w:rsidR="00F247DC" w:rsidRPr="00E60BE4" w:rsidTr="009C0354">
        <w:tc>
          <w:tcPr>
            <w:tcW w:w="219" w:type="pct"/>
          </w:tcPr>
          <w:p w:rsidR="00F247DC" w:rsidRPr="00E60BE4" w:rsidRDefault="00F247DC"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lastRenderedPageBreak/>
              <w:t>31</w:t>
            </w:r>
          </w:p>
        </w:tc>
        <w:tc>
          <w:tcPr>
            <w:tcW w:w="452" w:type="pct"/>
          </w:tcPr>
          <w:p w:rsidR="00F247DC" w:rsidRPr="00E60BE4" w:rsidRDefault="00F247DC"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roofErr w:type="spellStart"/>
            <w:r>
              <w:rPr>
                <w:rFonts w:ascii="Bookman Old Style" w:hAnsi="Bookman Old Style" w:cs="Arial"/>
                <w:sz w:val="24"/>
                <w:szCs w:val="24"/>
              </w:rPr>
              <w:t>hh</w:t>
            </w:r>
            <w:proofErr w:type="spellEnd"/>
            <w:r w:rsidRPr="00E60BE4">
              <w:rPr>
                <w:rFonts w:ascii="Bookman Old Style" w:hAnsi="Bookman Old Style" w:cs="Arial"/>
                <w:sz w:val="24"/>
                <w:szCs w:val="24"/>
              </w:rPr>
              <w:t>)</w:t>
            </w:r>
          </w:p>
        </w:tc>
        <w:tc>
          <w:tcPr>
            <w:tcW w:w="574" w:type="pct"/>
          </w:tcPr>
          <w:p w:rsidR="00F247DC" w:rsidRPr="00E60BE4" w:rsidRDefault="00F247DC" w:rsidP="00181FC7">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Modification of </w:t>
            </w:r>
          </w:p>
          <w:p w:rsidR="00F247DC" w:rsidRPr="00E60BE4" w:rsidRDefault="00F247DC" w:rsidP="00181FC7">
            <w:pPr>
              <w:autoSpaceDE w:val="0"/>
              <w:autoSpaceDN w:val="0"/>
              <w:adjustRightInd w:val="0"/>
              <w:jc w:val="center"/>
              <w:rPr>
                <w:rFonts w:ascii="Bookman Old Style" w:hAnsi="Bookman Old Style" w:cs="Arial"/>
                <w:sz w:val="24"/>
                <w:szCs w:val="24"/>
              </w:rPr>
            </w:pPr>
            <w:r w:rsidRPr="00E60BE4">
              <w:rPr>
                <w:rFonts w:ascii="Bookman Old Style" w:hAnsi="Bookman Old Style" w:cs="Arial"/>
                <w:sz w:val="24"/>
                <w:szCs w:val="24"/>
              </w:rPr>
              <w:t xml:space="preserve">Clause </w:t>
            </w:r>
            <w:r w:rsidRPr="00E60BE4">
              <w:rPr>
                <w:rFonts w:ascii="Bookman Old Style" w:hAnsi="Bookman Old Style" w:cs="Times New Roman"/>
                <w:sz w:val="24"/>
                <w:szCs w:val="24"/>
              </w:rPr>
              <w:t>3(b)(viii</w:t>
            </w:r>
            <w:proofErr w:type="gramStart"/>
            <w:r w:rsidRPr="00E60BE4">
              <w:rPr>
                <w:rFonts w:ascii="Bookman Old Style" w:hAnsi="Bookman Old Style" w:cs="Times New Roman"/>
                <w:sz w:val="24"/>
                <w:szCs w:val="24"/>
              </w:rPr>
              <w:t xml:space="preserve">) </w:t>
            </w:r>
            <w:r w:rsidRPr="00E60BE4">
              <w:rPr>
                <w:rFonts w:ascii="Bookman Old Style" w:hAnsi="Bookman Old Style" w:cs="Arial"/>
                <w:sz w:val="24"/>
                <w:szCs w:val="24"/>
              </w:rPr>
              <w:t xml:space="preserve"> of</w:t>
            </w:r>
            <w:proofErr w:type="gramEnd"/>
            <w:r w:rsidRPr="00E60BE4">
              <w:rPr>
                <w:rFonts w:ascii="Bookman Old Style" w:hAnsi="Bookman Old Style" w:cs="Arial"/>
                <w:sz w:val="24"/>
                <w:szCs w:val="24"/>
              </w:rPr>
              <w:t xml:space="preserve"> Schedule –II</w:t>
            </w:r>
          </w:p>
          <w:p w:rsidR="00F247DC" w:rsidRPr="00E60BE4" w:rsidRDefault="00F247DC" w:rsidP="00D007B3">
            <w:pPr>
              <w:autoSpaceDE w:val="0"/>
              <w:autoSpaceDN w:val="0"/>
              <w:adjustRightInd w:val="0"/>
              <w:jc w:val="center"/>
              <w:rPr>
                <w:rFonts w:ascii="Bookman Old Style" w:hAnsi="Bookman Old Style" w:cs="Arial"/>
                <w:sz w:val="24"/>
                <w:szCs w:val="24"/>
              </w:rPr>
            </w:pPr>
          </w:p>
        </w:tc>
        <w:tc>
          <w:tcPr>
            <w:tcW w:w="1695" w:type="pct"/>
          </w:tcPr>
          <w:p w:rsidR="00F247DC" w:rsidRPr="00E60BE4" w:rsidRDefault="00F247DC" w:rsidP="007F2709">
            <w:pPr>
              <w:jc w:val="both"/>
              <w:rPr>
                <w:rFonts w:ascii="Bookman Old Style" w:hAnsi="Bookman Old Style" w:cs="Arial"/>
                <w:sz w:val="24"/>
                <w:szCs w:val="24"/>
              </w:rPr>
            </w:pPr>
            <w:r w:rsidRPr="00E60BE4">
              <w:rPr>
                <w:rFonts w:ascii="Bookman Old Style" w:hAnsi="Bookman Old Style" w:cs="Arial"/>
                <w:sz w:val="24"/>
                <w:szCs w:val="24"/>
              </w:rPr>
              <w:t>Insurers shall ensure filing of the advertisements in accordance with IRDA (Insurance Advertisements and Disclosures) Regulations, 2000 within seven days from the date of issuing the advertisement with the Authority. </w:t>
            </w:r>
          </w:p>
          <w:p w:rsidR="00F247DC" w:rsidRPr="00E60BE4" w:rsidRDefault="00F247DC" w:rsidP="007F2709">
            <w:pPr>
              <w:pStyle w:val="PlainText"/>
              <w:spacing w:after="200"/>
              <w:jc w:val="both"/>
              <w:rPr>
                <w:rFonts w:ascii="Bookman Old Style" w:hAnsi="Bookman Old Style" w:cs="Times New Roman"/>
                <w:bCs/>
                <w:sz w:val="24"/>
                <w:szCs w:val="24"/>
                <w:lang w:val="en-GB"/>
              </w:rPr>
            </w:pPr>
          </w:p>
        </w:tc>
        <w:tc>
          <w:tcPr>
            <w:tcW w:w="850" w:type="pct"/>
          </w:tcPr>
          <w:p w:rsidR="00F247DC" w:rsidRPr="00E60BE4" w:rsidRDefault="00F247DC" w:rsidP="007F2709">
            <w:pPr>
              <w:pStyle w:val="PlainText"/>
              <w:jc w:val="both"/>
              <w:rPr>
                <w:rFonts w:ascii="Bookman Old Style" w:hAnsi="Bookman Old Style" w:cs="Times New Roman"/>
                <w:sz w:val="24"/>
                <w:szCs w:val="24"/>
              </w:rPr>
            </w:pPr>
            <w:r w:rsidRPr="00E60BE4">
              <w:rPr>
                <w:rFonts w:ascii="Bookman Old Style" w:hAnsi="Bookman Old Style" w:cs="Times New Roman"/>
                <w:sz w:val="24"/>
                <w:szCs w:val="24"/>
              </w:rPr>
              <w:t>Insurers shall ensure filing of the advertisements in accordance with IRDAI (Insurance Advertisements and Disclosures) Regulations, 2021 within seven days from the date of issuing the advertisement with the Authority as amended from time to time. </w:t>
            </w:r>
          </w:p>
        </w:tc>
        <w:tc>
          <w:tcPr>
            <w:tcW w:w="1211" w:type="pct"/>
          </w:tcPr>
          <w:p w:rsidR="00F247DC" w:rsidRPr="00E60BE4" w:rsidRDefault="00F247DC" w:rsidP="00181FC7">
            <w:pPr>
              <w:autoSpaceDE w:val="0"/>
              <w:autoSpaceDN w:val="0"/>
              <w:adjustRightInd w:val="0"/>
              <w:jc w:val="both"/>
              <w:rPr>
                <w:rFonts w:ascii="Bookman Old Style" w:hAnsi="Bookman Old Style" w:cs="Arial"/>
                <w:sz w:val="24"/>
                <w:szCs w:val="24"/>
              </w:rPr>
            </w:pPr>
            <w:r w:rsidRPr="00E60BE4">
              <w:rPr>
                <w:rFonts w:ascii="Bookman Old Style" w:hAnsi="Bookman Old Style" w:cs="Arial"/>
                <w:sz w:val="24"/>
                <w:szCs w:val="24"/>
              </w:rPr>
              <w:t>Latest  Regulations on  (Insurance Advertisements and Disclosures) specified.</w:t>
            </w:r>
          </w:p>
        </w:tc>
      </w:tr>
      <w:tr w:rsidR="00300655" w:rsidRPr="00E60BE4" w:rsidTr="009C0354">
        <w:tc>
          <w:tcPr>
            <w:tcW w:w="219" w:type="pct"/>
          </w:tcPr>
          <w:p w:rsidR="00300655" w:rsidRDefault="00300655" w:rsidP="00D007B3">
            <w:pPr>
              <w:autoSpaceDE w:val="0"/>
              <w:autoSpaceDN w:val="0"/>
              <w:adjustRightInd w:val="0"/>
              <w:jc w:val="center"/>
              <w:rPr>
                <w:rFonts w:ascii="Bookman Old Style" w:hAnsi="Bookman Old Style" w:cs="Arial"/>
                <w:sz w:val="24"/>
                <w:szCs w:val="24"/>
              </w:rPr>
            </w:pPr>
          </w:p>
          <w:p w:rsidR="00300655" w:rsidRDefault="00300655" w:rsidP="00300655">
            <w:pPr>
              <w:rPr>
                <w:rFonts w:ascii="Bookman Old Style" w:hAnsi="Bookman Old Style" w:cs="Arial"/>
                <w:sz w:val="24"/>
                <w:szCs w:val="24"/>
              </w:rPr>
            </w:pPr>
          </w:p>
          <w:p w:rsidR="00300655" w:rsidRDefault="00300655" w:rsidP="00300655">
            <w:pPr>
              <w:rPr>
                <w:rFonts w:ascii="Bookman Old Style" w:hAnsi="Bookman Old Style" w:cs="Arial"/>
                <w:sz w:val="24"/>
                <w:szCs w:val="24"/>
              </w:rPr>
            </w:pPr>
          </w:p>
          <w:p w:rsidR="00300655" w:rsidRPr="00300655" w:rsidRDefault="00300655" w:rsidP="00300655">
            <w:pPr>
              <w:rPr>
                <w:rFonts w:ascii="Bookman Old Style" w:hAnsi="Bookman Old Style" w:cs="Arial"/>
                <w:sz w:val="24"/>
                <w:szCs w:val="24"/>
              </w:rPr>
            </w:pPr>
            <w:r>
              <w:rPr>
                <w:rFonts w:ascii="Bookman Old Style" w:hAnsi="Bookman Old Style" w:cs="Arial"/>
                <w:sz w:val="24"/>
                <w:szCs w:val="24"/>
              </w:rPr>
              <w:t>32</w:t>
            </w:r>
          </w:p>
        </w:tc>
        <w:tc>
          <w:tcPr>
            <w:tcW w:w="452" w:type="pct"/>
          </w:tcPr>
          <w:p w:rsidR="00300655" w:rsidRDefault="00300655" w:rsidP="00D007B3">
            <w:pPr>
              <w:autoSpaceDE w:val="0"/>
              <w:autoSpaceDN w:val="0"/>
              <w:adjustRightInd w:val="0"/>
              <w:jc w:val="center"/>
              <w:rPr>
                <w:rFonts w:ascii="Bookman Old Style" w:hAnsi="Bookman Old Style" w:cs="Arial"/>
                <w:sz w:val="24"/>
                <w:szCs w:val="24"/>
              </w:rPr>
            </w:pPr>
          </w:p>
          <w:p w:rsidR="00300655" w:rsidRDefault="00300655" w:rsidP="00D007B3">
            <w:pPr>
              <w:autoSpaceDE w:val="0"/>
              <w:autoSpaceDN w:val="0"/>
              <w:adjustRightInd w:val="0"/>
              <w:jc w:val="center"/>
              <w:rPr>
                <w:rFonts w:ascii="Bookman Old Style" w:hAnsi="Bookman Old Style" w:cs="Arial"/>
                <w:sz w:val="24"/>
                <w:szCs w:val="24"/>
              </w:rPr>
            </w:pPr>
          </w:p>
          <w:p w:rsidR="00300655" w:rsidRDefault="00300655" w:rsidP="00D007B3">
            <w:pPr>
              <w:autoSpaceDE w:val="0"/>
              <w:autoSpaceDN w:val="0"/>
              <w:adjustRightInd w:val="0"/>
              <w:jc w:val="center"/>
              <w:rPr>
                <w:rFonts w:ascii="Bookman Old Style" w:hAnsi="Bookman Old Style" w:cs="Arial"/>
                <w:sz w:val="24"/>
                <w:szCs w:val="24"/>
              </w:rPr>
            </w:pPr>
          </w:p>
          <w:p w:rsidR="00300655" w:rsidRDefault="00300655" w:rsidP="00D007B3">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2(ii)</w:t>
            </w:r>
          </w:p>
        </w:tc>
        <w:tc>
          <w:tcPr>
            <w:tcW w:w="574" w:type="pct"/>
          </w:tcPr>
          <w:p w:rsidR="00300655" w:rsidRDefault="00300655" w:rsidP="00181FC7">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 xml:space="preserve">Insertion after </w:t>
            </w:r>
          </w:p>
          <w:p w:rsidR="00300655" w:rsidRPr="00E60BE4" w:rsidRDefault="00300655" w:rsidP="00181FC7">
            <w:pPr>
              <w:autoSpaceDE w:val="0"/>
              <w:autoSpaceDN w:val="0"/>
              <w:adjustRightInd w:val="0"/>
              <w:jc w:val="center"/>
              <w:rPr>
                <w:rFonts w:ascii="Bookman Old Style" w:hAnsi="Bookman Old Style" w:cs="Arial"/>
                <w:sz w:val="24"/>
                <w:szCs w:val="24"/>
              </w:rPr>
            </w:pPr>
            <w:r w:rsidRPr="00EA3A16">
              <w:rPr>
                <w:rFonts w:ascii="Bookman Old Style" w:hAnsi="Bookman Old Style" w:cs="Times New Roman"/>
                <w:sz w:val="24"/>
                <w:szCs w:val="24"/>
              </w:rPr>
              <w:t>Clause 2 of Schedule III</w:t>
            </w:r>
            <w:r>
              <w:rPr>
                <w:rFonts w:ascii="Bookman Old Style" w:hAnsi="Bookman Old Style" w:cs="Arial"/>
                <w:sz w:val="24"/>
                <w:szCs w:val="24"/>
              </w:rPr>
              <w:t xml:space="preserve"> </w:t>
            </w:r>
          </w:p>
        </w:tc>
        <w:tc>
          <w:tcPr>
            <w:tcW w:w="1695" w:type="pct"/>
          </w:tcPr>
          <w:p w:rsidR="00300655" w:rsidRPr="00E60BE4" w:rsidRDefault="00300655" w:rsidP="00300655">
            <w:pPr>
              <w:pStyle w:val="PlainText"/>
              <w:jc w:val="both"/>
              <w:rPr>
                <w:rFonts w:ascii="Bookman Old Style" w:hAnsi="Bookman Old Style" w:cs="Arial"/>
                <w:sz w:val="24"/>
                <w:szCs w:val="24"/>
              </w:rPr>
            </w:pPr>
          </w:p>
        </w:tc>
        <w:tc>
          <w:tcPr>
            <w:tcW w:w="850" w:type="pct"/>
          </w:tcPr>
          <w:p w:rsidR="00300655" w:rsidRDefault="00300655" w:rsidP="00300655">
            <w:pPr>
              <w:pStyle w:val="PlainText"/>
              <w:jc w:val="both"/>
              <w:rPr>
                <w:rFonts w:ascii="Bookman Old Style" w:hAnsi="Bookman Old Style" w:cs="Times New Roman"/>
                <w:sz w:val="24"/>
                <w:szCs w:val="24"/>
              </w:rPr>
            </w:pPr>
            <w:r w:rsidRPr="00EA3A16">
              <w:rPr>
                <w:rFonts w:ascii="Bookman Old Style" w:hAnsi="Bookman Old Style" w:cs="Times New Roman"/>
                <w:sz w:val="24"/>
                <w:szCs w:val="24"/>
              </w:rPr>
              <w:t>After Clause 2 of Schedule III the following clause shall be inserted namely,</w:t>
            </w:r>
          </w:p>
          <w:p w:rsidR="00300655" w:rsidRPr="00E60BE4" w:rsidRDefault="00300655" w:rsidP="00312FD2">
            <w:pPr>
              <w:pStyle w:val="PlainText"/>
              <w:jc w:val="both"/>
              <w:rPr>
                <w:rFonts w:ascii="Bookman Old Style" w:hAnsi="Bookman Old Style" w:cs="Times New Roman"/>
                <w:sz w:val="24"/>
                <w:szCs w:val="24"/>
              </w:rPr>
            </w:pPr>
            <w:r w:rsidRPr="00EA3A16">
              <w:rPr>
                <w:rFonts w:ascii="Bookman Old Style" w:hAnsi="Bookman Old Style" w:cs="Times New Roman"/>
                <w:sz w:val="24"/>
                <w:szCs w:val="24"/>
              </w:rPr>
              <w:t>2 (a) Regulation 3 (</w:t>
            </w:r>
            <w:proofErr w:type="gramStart"/>
            <w:r w:rsidRPr="00EA3A16">
              <w:rPr>
                <w:rFonts w:ascii="Bookman Old Style" w:hAnsi="Bookman Old Style" w:cs="Times New Roman"/>
                <w:sz w:val="24"/>
                <w:szCs w:val="24"/>
              </w:rPr>
              <w:t>c )</w:t>
            </w:r>
            <w:proofErr w:type="gramEnd"/>
            <w:r w:rsidRPr="00EA3A16">
              <w:rPr>
                <w:rFonts w:ascii="Bookman Old Style" w:hAnsi="Bookman Old Style" w:cs="Times New Roman"/>
                <w:sz w:val="24"/>
                <w:szCs w:val="24"/>
              </w:rPr>
              <w:t>: Tenure of health insurance products.</w:t>
            </w:r>
            <w:r w:rsidR="00312FD2">
              <w:rPr>
                <w:rFonts w:ascii="Bookman Old Style" w:hAnsi="Bookman Old Style" w:cs="Times New Roman"/>
                <w:sz w:val="24"/>
                <w:szCs w:val="24"/>
              </w:rPr>
              <w:t xml:space="preserve"> </w:t>
            </w:r>
          </w:p>
        </w:tc>
        <w:tc>
          <w:tcPr>
            <w:tcW w:w="1211" w:type="pct"/>
          </w:tcPr>
          <w:p w:rsidR="00300655" w:rsidRPr="00E60BE4" w:rsidRDefault="00300655" w:rsidP="00181FC7">
            <w:p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In view of comments at s.no 3</w:t>
            </w:r>
          </w:p>
        </w:tc>
      </w:tr>
    </w:tbl>
    <w:p w:rsidR="004D440D" w:rsidRPr="00E60BE4" w:rsidRDefault="004D440D" w:rsidP="009C0354">
      <w:pPr>
        <w:autoSpaceDE w:val="0"/>
        <w:autoSpaceDN w:val="0"/>
        <w:adjustRightInd w:val="0"/>
        <w:spacing w:after="0" w:line="240" w:lineRule="auto"/>
        <w:jc w:val="both"/>
        <w:rPr>
          <w:rFonts w:ascii="Bookman Old Style" w:hAnsi="Bookman Old Style" w:cs="Arial"/>
          <w:sz w:val="24"/>
          <w:szCs w:val="24"/>
        </w:rPr>
      </w:pPr>
    </w:p>
    <w:sectPr w:rsidR="004D440D" w:rsidRPr="00E60BE4" w:rsidSect="000A3E7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AA" w:rsidRDefault="004D77AA" w:rsidP="003D568D">
      <w:pPr>
        <w:spacing w:after="0" w:line="240" w:lineRule="auto"/>
      </w:pPr>
      <w:r>
        <w:separator/>
      </w:r>
    </w:p>
  </w:endnote>
  <w:endnote w:type="continuationSeparator" w:id="0">
    <w:p w:rsidR="004D77AA" w:rsidRDefault="004D77AA" w:rsidP="003D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45054"/>
      <w:docPartObj>
        <w:docPartGallery w:val="Page Numbers (Bottom of Page)"/>
        <w:docPartUnique/>
      </w:docPartObj>
    </w:sdtPr>
    <w:sdtEndPr/>
    <w:sdtContent>
      <w:sdt>
        <w:sdtPr>
          <w:id w:val="-1769616900"/>
          <w:docPartObj>
            <w:docPartGallery w:val="Page Numbers (Top of Page)"/>
            <w:docPartUnique/>
          </w:docPartObj>
        </w:sdtPr>
        <w:sdtEndPr/>
        <w:sdtContent>
          <w:p w:rsidR="00484660" w:rsidRDefault="00484660">
            <w:pPr>
              <w:pStyle w:val="Footer"/>
              <w:jc w:val="right"/>
            </w:pPr>
            <w:r>
              <w:t xml:space="preserve">Page </w:t>
            </w:r>
            <w:r w:rsidR="00760B17">
              <w:rPr>
                <w:b/>
                <w:bCs/>
                <w:sz w:val="24"/>
                <w:szCs w:val="24"/>
              </w:rPr>
              <w:fldChar w:fldCharType="begin"/>
            </w:r>
            <w:r>
              <w:rPr>
                <w:b/>
                <w:bCs/>
              </w:rPr>
              <w:instrText xml:space="preserve"> PAGE </w:instrText>
            </w:r>
            <w:r w:rsidR="00760B17">
              <w:rPr>
                <w:b/>
                <w:bCs/>
                <w:sz w:val="24"/>
                <w:szCs w:val="24"/>
              </w:rPr>
              <w:fldChar w:fldCharType="separate"/>
            </w:r>
            <w:r w:rsidR="009C0354">
              <w:rPr>
                <w:b/>
                <w:bCs/>
                <w:noProof/>
              </w:rPr>
              <w:t>18</w:t>
            </w:r>
            <w:r w:rsidR="00760B17">
              <w:rPr>
                <w:b/>
                <w:bCs/>
                <w:sz w:val="24"/>
                <w:szCs w:val="24"/>
              </w:rPr>
              <w:fldChar w:fldCharType="end"/>
            </w:r>
            <w:r>
              <w:t xml:space="preserve"> of </w:t>
            </w:r>
            <w:r w:rsidR="00760B17">
              <w:rPr>
                <w:b/>
                <w:bCs/>
                <w:sz w:val="24"/>
                <w:szCs w:val="24"/>
              </w:rPr>
              <w:fldChar w:fldCharType="begin"/>
            </w:r>
            <w:r>
              <w:rPr>
                <w:b/>
                <w:bCs/>
              </w:rPr>
              <w:instrText xml:space="preserve"> NUMPAGES  </w:instrText>
            </w:r>
            <w:r w:rsidR="00760B17">
              <w:rPr>
                <w:b/>
                <w:bCs/>
                <w:sz w:val="24"/>
                <w:szCs w:val="24"/>
              </w:rPr>
              <w:fldChar w:fldCharType="separate"/>
            </w:r>
            <w:r w:rsidR="009C0354">
              <w:rPr>
                <w:b/>
                <w:bCs/>
                <w:noProof/>
              </w:rPr>
              <w:t>18</w:t>
            </w:r>
            <w:r w:rsidR="00760B17">
              <w:rPr>
                <w:b/>
                <w:bCs/>
                <w:sz w:val="24"/>
                <w:szCs w:val="24"/>
              </w:rPr>
              <w:fldChar w:fldCharType="end"/>
            </w:r>
          </w:p>
        </w:sdtContent>
      </w:sdt>
    </w:sdtContent>
  </w:sdt>
  <w:p w:rsidR="00484660" w:rsidRDefault="00484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AA" w:rsidRDefault="004D77AA" w:rsidP="003D568D">
      <w:pPr>
        <w:spacing w:after="0" w:line="240" w:lineRule="auto"/>
      </w:pPr>
      <w:r>
        <w:separator/>
      </w:r>
    </w:p>
  </w:footnote>
  <w:footnote w:type="continuationSeparator" w:id="0">
    <w:p w:rsidR="004D77AA" w:rsidRDefault="004D77AA" w:rsidP="003D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ABE"/>
    <w:multiLevelType w:val="multilevel"/>
    <w:tmpl w:val="47A4CA66"/>
    <w:lvl w:ilvl="0">
      <w:start w:val="1"/>
      <w:numFmt w:val="decimal"/>
      <w:lvlText w:val="%1."/>
      <w:lvlJc w:val="left"/>
      <w:pPr>
        <w:ind w:left="360" w:hanging="360"/>
      </w:pPr>
      <w:rPr>
        <w:rFonts w:ascii="Arial" w:eastAsia="Times New Roman" w:hAnsi="Arial" w:cs="Arial" w:hint="default"/>
        <w:b/>
        <w:bCs/>
      </w:rPr>
    </w:lvl>
    <w:lvl w:ilvl="1">
      <w:start w:val="1"/>
      <w:numFmt w:val="lowerLetter"/>
      <w:lvlText w:val="%2."/>
      <w:lvlJc w:val="left"/>
      <w:pPr>
        <w:ind w:left="720" w:hanging="360"/>
      </w:pPr>
      <w:rPr>
        <w:rFonts w:ascii="Arial" w:eastAsia="Calibr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0647D7"/>
    <w:multiLevelType w:val="hybridMultilevel"/>
    <w:tmpl w:val="6D1C685A"/>
    <w:lvl w:ilvl="0" w:tplc="8A8EDFE6">
      <w:start w:val="1"/>
      <w:numFmt w:val="decimal"/>
      <w:lvlText w:val="%1."/>
      <w:lvlJc w:val="left"/>
      <w:pPr>
        <w:ind w:left="360" w:hanging="360"/>
      </w:pPr>
      <w:rPr>
        <w:rFonts w:hint="default"/>
        <w:b/>
        <w:bCs/>
      </w:rPr>
    </w:lvl>
    <w:lvl w:ilvl="1" w:tplc="1E8422F2">
      <w:start w:val="1"/>
      <w:numFmt w:val="lowerLetter"/>
      <w:lvlText w:val="%2."/>
      <w:lvlJc w:val="left"/>
      <w:pPr>
        <w:ind w:left="1495" w:hanging="360"/>
      </w:pPr>
      <w:rPr>
        <w:rFonts w:ascii="Arial" w:eastAsia="Calibri" w:hAnsi="Arial" w:cs="Arial"/>
        <w:b w:val="0"/>
        <w:bCs/>
      </w:rPr>
    </w:lvl>
    <w:lvl w:ilvl="2" w:tplc="CF72C594">
      <w:start w:val="1"/>
      <w:numFmt w:val="lowerRoman"/>
      <w:lvlText w:val="%3."/>
      <w:lvlJc w:val="right"/>
      <w:pPr>
        <w:ind w:left="2160" w:hanging="180"/>
      </w:pPr>
      <w:rPr>
        <w:rFonts w:ascii="Arial" w:hAnsi="Arial" w:cs="Arial" w:hint="default"/>
        <w:b w:val="0"/>
        <w:bCs/>
      </w:rPr>
    </w:lvl>
    <w:lvl w:ilvl="3" w:tplc="3CD89B6C">
      <w:start w:val="1"/>
      <w:numFmt w:val="decimal"/>
      <w:lvlText w:val="%4."/>
      <w:lvlJc w:val="left"/>
      <w:pPr>
        <w:ind w:left="2880" w:hanging="360"/>
      </w:pPr>
      <w:rPr>
        <w:strike w:val="0"/>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2E39CD"/>
    <w:multiLevelType w:val="hybridMultilevel"/>
    <w:tmpl w:val="71FAE44A"/>
    <w:lvl w:ilvl="0" w:tplc="39CA7626">
      <w:start w:val="1"/>
      <w:numFmt w:val="lowerRoman"/>
      <w:lvlText w:val="%1."/>
      <w:lvlJc w:val="right"/>
      <w:pPr>
        <w:ind w:left="2160" w:hanging="18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0704FD"/>
    <w:multiLevelType w:val="hybridMultilevel"/>
    <w:tmpl w:val="79B484E0"/>
    <w:lvl w:ilvl="0" w:tplc="4009000F">
      <w:start w:val="1"/>
      <w:numFmt w:val="decimal"/>
      <w:lvlText w:val="%1."/>
      <w:lvlJc w:val="left"/>
      <w:pPr>
        <w:ind w:left="786" w:hanging="360"/>
      </w:pPr>
      <w:rPr>
        <w:rFonts w:hint="default"/>
      </w:rPr>
    </w:lvl>
    <w:lvl w:ilvl="1" w:tplc="4009001B">
      <w:start w:val="1"/>
      <w:numFmt w:val="lowerRoman"/>
      <w:lvlText w:val="%2."/>
      <w:lvlJc w:val="right"/>
      <w:pPr>
        <w:ind w:left="1495" w:hanging="360"/>
      </w:pPr>
    </w:lvl>
    <w:lvl w:ilvl="2" w:tplc="EFA8C2E2">
      <w:start w:val="1"/>
      <w:numFmt w:val="lowerRoman"/>
      <w:lvlText w:val="%3."/>
      <w:lvlJc w:val="right"/>
      <w:pPr>
        <w:ind w:left="2160" w:hanging="180"/>
      </w:pPr>
      <w:rPr>
        <w:strike w:val="0"/>
      </w:rPr>
    </w:lvl>
    <w:lvl w:ilvl="3" w:tplc="3CD89B6C">
      <w:start w:val="1"/>
      <w:numFmt w:val="decimal"/>
      <w:lvlText w:val="%4."/>
      <w:lvlJc w:val="left"/>
      <w:pPr>
        <w:ind w:left="2880" w:hanging="360"/>
      </w:pPr>
      <w:rPr>
        <w:strike w:val="0"/>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0D7F31"/>
    <w:multiLevelType w:val="hybridMultilevel"/>
    <w:tmpl w:val="1FA672C2"/>
    <w:lvl w:ilvl="0" w:tplc="04090019">
      <w:start w:val="1"/>
      <w:numFmt w:val="lowerLetter"/>
      <w:lvlText w:val="%1."/>
      <w:lvlJc w:val="left"/>
      <w:pPr>
        <w:ind w:left="644" w:hanging="360"/>
      </w:pPr>
      <w:rPr>
        <w:rFonts w:hint="default"/>
      </w:rPr>
    </w:lvl>
    <w:lvl w:ilvl="1" w:tplc="4009001B">
      <w:start w:val="1"/>
      <w:numFmt w:val="lowerRoman"/>
      <w:lvlText w:val="%2."/>
      <w:lvlJc w:val="right"/>
      <w:pPr>
        <w:ind w:left="1440" w:hanging="360"/>
      </w:pPr>
    </w:lvl>
    <w:lvl w:ilvl="2" w:tplc="A4B43D58">
      <w:start w:val="1"/>
      <w:numFmt w:val="lowerLetter"/>
      <w:lvlText w:val="%3)"/>
      <w:lvlJc w:val="left"/>
      <w:pPr>
        <w:ind w:left="2160" w:hanging="180"/>
      </w:pPr>
      <w:rPr>
        <w:color w:val="auto"/>
      </w:rPr>
    </w:lvl>
    <w:lvl w:ilvl="3" w:tplc="F90CF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968CA"/>
    <w:multiLevelType w:val="hybridMultilevel"/>
    <w:tmpl w:val="C346FF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A1C53EB"/>
    <w:multiLevelType w:val="multilevel"/>
    <w:tmpl w:val="4CBC2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CB7EAD"/>
    <w:multiLevelType w:val="hybridMultilevel"/>
    <w:tmpl w:val="1C181C8A"/>
    <w:lvl w:ilvl="0" w:tplc="CF72C594">
      <w:start w:val="1"/>
      <w:numFmt w:val="lowerRoman"/>
      <w:lvlText w:val="%1."/>
      <w:lvlJc w:val="right"/>
      <w:pPr>
        <w:ind w:left="2160" w:hanging="180"/>
      </w:pPr>
      <w:rPr>
        <w:rFonts w:ascii="Arial" w:hAnsi="Arial" w:cs="Arial"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666118E"/>
    <w:multiLevelType w:val="multilevel"/>
    <w:tmpl w:val="61D46CF0"/>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ascii="Arial" w:hAnsi="Arial" w:cs="Arial" w:hint="default"/>
        <w:b w:val="0"/>
        <w:bCs/>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6B1E3A55"/>
    <w:multiLevelType w:val="hybridMultilevel"/>
    <w:tmpl w:val="23889094"/>
    <w:lvl w:ilvl="0" w:tplc="40090019">
      <w:start w:val="1"/>
      <w:numFmt w:val="lowerLetter"/>
      <w:lvlText w:val="%1."/>
      <w:lvlJc w:val="left"/>
      <w:pPr>
        <w:ind w:left="1080" w:hanging="180"/>
      </w:pPr>
      <w:rPr>
        <w:rFonts w:hint="default"/>
        <w:b w:val="0"/>
        <w:bCs/>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10" w15:restartNumberingAfterBreak="0">
    <w:nsid w:val="70BA6005"/>
    <w:multiLevelType w:val="multilevel"/>
    <w:tmpl w:val="1B22403E"/>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cs="Times New Roman" w:hint="default"/>
        <w:b w:val="0"/>
        <w:bCs/>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9"/>
  </w:num>
  <w:num w:numId="3">
    <w:abstractNumId w:val="10"/>
  </w:num>
  <w:num w:numId="4">
    <w:abstractNumId w:val="2"/>
  </w:num>
  <w:num w:numId="5">
    <w:abstractNumId w:val="8"/>
  </w:num>
  <w:num w:numId="6">
    <w:abstractNumId w:val="3"/>
  </w:num>
  <w:num w:numId="7">
    <w:abstractNumId w:val="5"/>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DE"/>
    <w:rsid w:val="0000314A"/>
    <w:rsid w:val="00005E9F"/>
    <w:rsid w:val="0001000E"/>
    <w:rsid w:val="00010C5E"/>
    <w:rsid w:val="00011576"/>
    <w:rsid w:val="0001571D"/>
    <w:rsid w:val="000206A6"/>
    <w:rsid w:val="00025047"/>
    <w:rsid w:val="00035A35"/>
    <w:rsid w:val="00040F47"/>
    <w:rsid w:val="00041506"/>
    <w:rsid w:val="00041BD8"/>
    <w:rsid w:val="00044666"/>
    <w:rsid w:val="00050073"/>
    <w:rsid w:val="00050FC6"/>
    <w:rsid w:val="0005111C"/>
    <w:rsid w:val="00051481"/>
    <w:rsid w:val="00051F77"/>
    <w:rsid w:val="0005399E"/>
    <w:rsid w:val="00053ED9"/>
    <w:rsid w:val="000545FB"/>
    <w:rsid w:val="0005642F"/>
    <w:rsid w:val="00064F78"/>
    <w:rsid w:val="0006640E"/>
    <w:rsid w:val="00066A09"/>
    <w:rsid w:val="00067F5B"/>
    <w:rsid w:val="0007074D"/>
    <w:rsid w:val="00070FEB"/>
    <w:rsid w:val="0007386F"/>
    <w:rsid w:val="000749C1"/>
    <w:rsid w:val="000777E0"/>
    <w:rsid w:val="000835AB"/>
    <w:rsid w:val="000838B7"/>
    <w:rsid w:val="0008479F"/>
    <w:rsid w:val="00086089"/>
    <w:rsid w:val="000873C2"/>
    <w:rsid w:val="000A3E76"/>
    <w:rsid w:val="000A6649"/>
    <w:rsid w:val="000B0EA0"/>
    <w:rsid w:val="000B348D"/>
    <w:rsid w:val="000B5C03"/>
    <w:rsid w:val="000B659E"/>
    <w:rsid w:val="000B6C3A"/>
    <w:rsid w:val="000C23C7"/>
    <w:rsid w:val="000C33E9"/>
    <w:rsid w:val="000C6764"/>
    <w:rsid w:val="000C6D51"/>
    <w:rsid w:val="000E03FC"/>
    <w:rsid w:val="000E14E0"/>
    <w:rsid w:val="000E1A22"/>
    <w:rsid w:val="000E3C97"/>
    <w:rsid w:val="000E5472"/>
    <w:rsid w:val="000E7566"/>
    <w:rsid w:val="000F2E76"/>
    <w:rsid w:val="000F340B"/>
    <w:rsid w:val="000F499D"/>
    <w:rsid w:val="000F7F52"/>
    <w:rsid w:val="00102B19"/>
    <w:rsid w:val="001065E8"/>
    <w:rsid w:val="00106A7A"/>
    <w:rsid w:val="001110FD"/>
    <w:rsid w:val="00111E73"/>
    <w:rsid w:val="00113C15"/>
    <w:rsid w:val="00113D9C"/>
    <w:rsid w:val="00115AD5"/>
    <w:rsid w:val="00117280"/>
    <w:rsid w:val="001224B2"/>
    <w:rsid w:val="00123295"/>
    <w:rsid w:val="0012461F"/>
    <w:rsid w:val="00127C79"/>
    <w:rsid w:val="00134807"/>
    <w:rsid w:val="00136D72"/>
    <w:rsid w:val="00140DD8"/>
    <w:rsid w:val="00144C44"/>
    <w:rsid w:val="00144E0C"/>
    <w:rsid w:val="001523BE"/>
    <w:rsid w:val="00154D95"/>
    <w:rsid w:val="0016060D"/>
    <w:rsid w:val="00161567"/>
    <w:rsid w:val="00161C78"/>
    <w:rsid w:val="001632D9"/>
    <w:rsid w:val="00164756"/>
    <w:rsid w:val="0017159D"/>
    <w:rsid w:val="00172F28"/>
    <w:rsid w:val="00173F77"/>
    <w:rsid w:val="001751B9"/>
    <w:rsid w:val="0018015A"/>
    <w:rsid w:val="00180BF8"/>
    <w:rsid w:val="00181FC7"/>
    <w:rsid w:val="00186554"/>
    <w:rsid w:val="00190055"/>
    <w:rsid w:val="0019168A"/>
    <w:rsid w:val="00192BA1"/>
    <w:rsid w:val="001945CA"/>
    <w:rsid w:val="001A11BD"/>
    <w:rsid w:val="001A2F0E"/>
    <w:rsid w:val="001A62FD"/>
    <w:rsid w:val="001B0E0C"/>
    <w:rsid w:val="001B5C8C"/>
    <w:rsid w:val="001B5D57"/>
    <w:rsid w:val="001B7BC9"/>
    <w:rsid w:val="001C0749"/>
    <w:rsid w:val="001C0B29"/>
    <w:rsid w:val="001C2034"/>
    <w:rsid w:val="001C46B4"/>
    <w:rsid w:val="001C55AA"/>
    <w:rsid w:val="001D0A3D"/>
    <w:rsid w:val="001D307D"/>
    <w:rsid w:val="001D310F"/>
    <w:rsid w:val="001D349D"/>
    <w:rsid w:val="001D3BE6"/>
    <w:rsid w:val="001D6F88"/>
    <w:rsid w:val="001E40D6"/>
    <w:rsid w:val="001E5CFF"/>
    <w:rsid w:val="001E712D"/>
    <w:rsid w:val="001F4280"/>
    <w:rsid w:val="001F5036"/>
    <w:rsid w:val="002001F9"/>
    <w:rsid w:val="00202129"/>
    <w:rsid w:val="0020217E"/>
    <w:rsid w:val="00203096"/>
    <w:rsid w:val="0020319A"/>
    <w:rsid w:val="002035F0"/>
    <w:rsid w:val="00205DF3"/>
    <w:rsid w:val="00206891"/>
    <w:rsid w:val="00206919"/>
    <w:rsid w:val="002075A2"/>
    <w:rsid w:val="002118DF"/>
    <w:rsid w:val="00214304"/>
    <w:rsid w:val="00220956"/>
    <w:rsid w:val="00233FE9"/>
    <w:rsid w:val="0023478B"/>
    <w:rsid w:val="00234D47"/>
    <w:rsid w:val="002351CA"/>
    <w:rsid w:val="0023647A"/>
    <w:rsid w:val="00236EEE"/>
    <w:rsid w:val="0024013A"/>
    <w:rsid w:val="00240201"/>
    <w:rsid w:val="00241181"/>
    <w:rsid w:val="00242966"/>
    <w:rsid w:val="00246E08"/>
    <w:rsid w:val="00247073"/>
    <w:rsid w:val="00254346"/>
    <w:rsid w:val="002577E9"/>
    <w:rsid w:val="002610AC"/>
    <w:rsid w:val="0026244D"/>
    <w:rsid w:val="0026399B"/>
    <w:rsid w:val="00270F41"/>
    <w:rsid w:val="002714D1"/>
    <w:rsid w:val="00271D27"/>
    <w:rsid w:val="00276DDF"/>
    <w:rsid w:val="00277533"/>
    <w:rsid w:val="002800B5"/>
    <w:rsid w:val="00283A0E"/>
    <w:rsid w:val="0028641A"/>
    <w:rsid w:val="00291481"/>
    <w:rsid w:val="00297E97"/>
    <w:rsid w:val="002A2E1D"/>
    <w:rsid w:val="002A561D"/>
    <w:rsid w:val="002A58A3"/>
    <w:rsid w:val="002A6867"/>
    <w:rsid w:val="002B42C6"/>
    <w:rsid w:val="002B486C"/>
    <w:rsid w:val="002C001A"/>
    <w:rsid w:val="002C16AB"/>
    <w:rsid w:val="002C289B"/>
    <w:rsid w:val="002C3871"/>
    <w:rsid w:val="002C40A6"/>
    <w:rsid w:val="002C72E6"/>
    <w:rsid w:val="002C7550"/>
    <w:rsid w:val="002D27A2"/>
    <w:rsid w:val="002D63EF"/>
    <w:rsid w:val="002D7B64"/>
    <w:rsid w:val="002D7B65"/>
    <w:rsid w:val="002E0B14"/>
    <w:rsid w:val="002E12CD"/>
    <w:rsid w:val="002E1985"/>
    <w:rsid w:val="002E1C1F"/>
    <w:rsid w:val="002E3746"/>
    <w:rsid w:val="002E487B"/>
    <w:rsid w:val="002E73BD"/>
    <w:rsid w:val="002F101C"/>
    <w:rsid w:val="002F2175"/>
    <w:rsid w:val="002F5CC5"/>
    <w:rsid w:val="00300655"/>
    <w:rsid w:val="00300EC2"/>
    <w:rsid w:val="003046CC"/>
    <w:rsid w:val="00310D8E"/>
    <w:rsid w:val="00312FD2"/>
    <w:rsid w:val="0031302E"/>
    <w:rsid w:val="003135CF"/>
    <w:rsid w:val="00326971"/>
    <w:rsid w:val="00326D00"/>
    <w:rsid w:val="00326EDA"/>
    <w:rsid w:val="00331287"/>
    <w:rsid w:val="00332D99"/>
    <w:rsid w:val="003356DD"/>
    <w:rsid w:val="0033572F"/>
    <w:rsid w:val="00341535"/>
    <w:rsid w:val="00343162"/>
    <w:rsid w:val="00345455"/>
    <w:rsid w:val="003463C4"/>
    <w:rsid w:val="003513D1"/>
    <w:rsid w:val="00352692"/>
    <w:rsid w:val="00352FC7"/>
    <w:rsid w:val="00353698"/>
    <w:rsid w:val="00353D9F"/>
    <w:rsid w:val="0035654C"/>
    <w:rsid w:val="003621BD"/>
    <w:rsid w:val="00363C69"/>
    <w:rsid w:val="003667ED"/>
    <w:rsid w:val="00373E32"/>
    <w:rsid w:val="00374B27"/>
    <w:rsid w:val="0037530A"/>
    <w:rsid w:val="00381359"/>
    <w:rsid w:val="003839BD"/>
    <w:rsid w:val="003972B0"/>
    <w:rsid w:val="003A1E2C"/>
    <w:rsid w:val="003A2A21"/>
    <w:rsid w:val="003A31CE"/>
    <w:rsid w:val="003A44FB"/>
    <w:rsid w:val="003B2EDF"/>
    <w:rsid w:val="003B34DB"/>
    <w:rsid w:val="003B5FD0"/>
    <w:rsid w:val="003B69EC"/>
    <w:rsid w:val="003C1A6E"/>
    <w:rsid w:val="003C3BF6"/>
    <w:rsid w:val="003D4FC5"/>
    <w:rsid w:val="003D568D"/>
    <w:rsid w:val="003D69DD"/>
    <w:rsid w:val="003D7438"/>
    <w:rsid w:val="003E0D5D"/>
    <w:rsid w:val="003E28B3"/>
    <w:rsid w:val="003E4E24"/>
    <w:rsid w:val="003E5EB3"/>
    <w:rsid w:val="00401851"/>
    <w:rsid w:val="0040418F"/>
    <w:rsid w:val="00407C47"/>
    <w:rsid w:val="00413F74"/>
    <w:rsid w:val="004201CA"/>
    <w:rsid w:val="004203EE"/>
    <w:rsid w:val="00420FA3"/>
    <w:rsid w:val="004251A5"/>
    <w:rsid w:val="00432FDB"/>
    <w:rsid w:val="004406DD"/>
    <w:rsid w:val="0044769F"/>
    <w:rsid w:val="004501EA"/>
    <w:rsid w:val="00450968"/>
    <w:rsid w:val="00467B03"/>
    <w:rsid w:val="00470472"/>
    <w:rsid w:val="00473A6A"/>
    <w:rsid w:val="0047622D"/>
    <w:rsid w:val="0048191F"/>
    <w:rsid w:val="00484660"/>
    <w:rsid w:val="00485C82"/>
    <w:rsid w:val="00487A93"/>
    <w:rsid w:val="00492919"/>
    <w:rsid w:val="0049523A"/>
    <w:rsid w:val="00496C31"/>
    <w:rsid w:val="00497424"/>
    <w:rsid w:val="004A2BE1"/>
    <w:rsid w:val="004A3772"/>
    <w:rsid w:val="004A7DC1"/>
    <w:rsid w:val="004B2E79"/>
    <w:rsid w:val="004B37CD"/>
    <w:rsid w:val="004B6D9D"/>
    <w:rsid w:val="004C5685"/>
    <w:rsid w:val="004C5DE5"/>
    <w:rsid w:val="004C6C9E"/>
    <w:rsid w:val="004D032B"/>
    <w:rsid w:val="004D1EC1"/>
    <w:rsid w:val="004D440D"/>
    <w:rsid w:val="004D59F1"/>
    <w:rsid w:val="004D77AA"/>
    <w:rsid w:val="004D7FC6"/>
    <w:rsid w:val="004E02E5"/>
    <w:rsid w:val="004E4FD8"/>
    <w:rsid w:val="005000FF"/>
    <w:rsid w:val="0050583E"/>
    <w:rsid w:val="00517401"/>
    <w:rsid w:val="00520633"/>
    <w:rsid w:val="00524FEE"/>
    <w:rsid w:val="005355F6"/>
    <w:rsid w:val="00537CD4"/>
    <w:rsid w:val="00540215"/>
    <w:rsid w:val="00540CE3"/>
    <w:rsid w:val="00540FCE"/>
    <w:rsid w:val="00542425"/>
    <w:rsid w:val="00543503"/>
    <w:rsid w:val="00544D4F"/>
    <w:rsid w:val="00546C22"/>
    <w:rsid w:val="00546E2B"/>
    <w:rsid w:val="00547E89"/>
    <w:rsid w:val="00550520"/>
    <w:rsid w:val="005520B8"/>
    <w:rsid w:val="005523D0"/>
    <w:rsid w:val="0055301A"/>
    <w:rsid w:val="00553E08"/>
    <w:rsid w:val="00560344"/>
    <w:rsid w:val="0056259A"/>
    <w:rsid w:val="005663F3"/>
    <w:rsid w:val="00567FF0"/>
    <w:rsid w:val="005725FF"/>
    <w:rsid w:val="00572EB3"/>
    <w:rsid w:val="005741FC"/>
    <w:rsid w:val="0057424F"/>
    <w:rsid w:val="00574DA9"/>
    <w:rsid w:val="00574FAB"/>
    <w:rsid w:val="005763FA"/>
    <w:rsid w:val="005764AB"/>
    <w:rsid w:val="00580164"/>
    <w:rsid w:val="005802A5"/>
    <w:rsid w:val="00586CB9"/>
    <w:rsid w:val="00592200"/>
    <w:rsid w:val="00595793"/>
    <w:rsid w:val="005A3393"/>
    <w:rsid w:val="005A7BF9"/>
    <w:rsid w:val="005B133D"/>
    <w:rsid w:val="005B207A"/>
    <w:rsid w:val="005B2A11"/>
    <w:rsid w:val="005B3130"/>
    <w:rsid w:val="005B32B3"/>
    <w:rsid w:val="005B368C"/>
    <w:rsid w:val="005B43F5"/>
    <w:rsid w:val="005B53D6"/>
    <w:rsid w:val="005B5D05"/>
    <w:rsid w:val="005C0EB0"/>
    <w:rsid w:val="005C22DE"/>
    <w:rsid w:val="005C4126"/>
    <w:rsid w:val="005C4550"/>
    <w:rsid w:val="005D301A"/>
    <w:rsid w:val="005D5414"/>
    <w:rsid w:val="005D5C0E"/>
    <w:rsid w:val="005E08EA"/>
    <w:rsid w:val="005E41BC"/>
    <w:rsid w:val="005E4B1E"/>
    <w:rsid w:val="005E55BC"/>
    <w:rsid w:val="005F03D7"/>
    <w:rsid w:val="005F4CEC"/>
    <w:rsid w:val="005F4DA1"/>
    <w:rsid w:val="005F593E"/>
    <w:rsid w:val="00610E64"/>
    <w:rsid w:val="00611DB7"/>
    <w:rsid w:val="0061236B"/>
    <w:rsid w:val="00617C2A"/>
    <w:rsid w:val="0062305B"/>
    <w:rsid w:val="006267BA"/>
    <w:rsid w:val="00626B25"/>
    <w:rsid w:val="00635410"/>
    <w:rsid w:val="00636A75"/>
    <w:rsid w:val="00643D59"/>
    <w:rsid w:val="006513E5"/>
    <w:rsid w:val="00651448"/>
    <w:rsid w:val="0065176F"/>
    <w:rsid w:val="006534C2"/>
    <w:rsid w:val="00655C68"/>
    <w:rsid w:val="00655FBC"/>
    <w:rsid w:val="00656A1A"/>
    <w:rsid w:val="00656B94"/>
    <w:rsid w:val="0065720F"/>
    <w:rsid w:val="00657622"/>
    <w:rsid w:val="00662500"/>
    <w:rsid w:val="006716F0"/>
    <w:rsid w:val="00681FA7"/>
    <w:rsid w:val="00682B3D"/>
    <w:rsid w:val="0068308E"/>
    <w:rsid w:val="00683386"/>
    <w:rsid w:val="00686E88"/>
    <w:rsid w:val="006878C0"/>
    <w:rsid w:val="00694A68"/>
    <w:rsid w:val="00697465"/>
    <w:rsid w:val="0069793C"/>
    <w:rsid w:val="006A38BD"/>
    <w:rsid w:val="006B1732"/>
    <w:rsid w:val="006B18E0"/>
    <w:rsid w:val="006B2AF1"/>
    <w:rsid w:val="006B382D"/>
    <w:rsid w:val="006B3D48"/>
    <w:rsid w:val="006C5842"/>
    <w:rsid w:val="006C59DB"/>
    <w:rsid w:val="006C7397"/>
    <w:rsid w:val="006D09B7"/>
    <w:rsid w:val="006D14A1"/>
    <w:rsid w:val="006D27CD"/>
    <w:rsid w:val="006D425E"/>
    <w:rsid w:val="006D57FD"/>
    <w:rsid w:val="006D5C52"/>
    <w:rsid w:val="006D6024"/>
    <w:rsid w:val="006E2562"/>
    <w:rsid w:val="006E394C"/>
    <w:rsid w:val="006E7413"/>
    <w:rsid w:val="006F3766"/>
    <w:rsid w:val="006F3BF5"/>
    <w:rsid w:val="006F60E4"/>
    <w:rsid w:val="0070494E"/>
    <w:rsid w:val="007104D8"/>
    <w:rsid w:val="0071174B"/>
    <w:rsid w:val="0071412D"/>
    <w:rsid w:val="007157D6"/>
    <w:rsid w:val="00723187"/>
    <w:rsid w:val="00723E98"/>
    <w:rsid w:val="00727413"/>
    <w:rsid w:val="007301AF"/>
    <w:rsid w:val="00730DFA"/>
    <w:rsid w:val="00731A27"/>
    <w:rsid w:val="007327B5"/>
    <w:rsid w:val="007330C5"/>
    <w:rsid w:val="00741A60"/>
    <w:rsid w:val="00741CA7"/>
    <w:rsid w:val="0074541A"/>
    <w:rsid w:val="007514AC"/>
    <w:rsid w:val="007533D4"/>
    <w:rsid w:val="00754234"/>
    <w:rsid w:val="00760B17"/>
    <w:rsid w:val="00762236"/>
    <w:rsid w:val="00763ED9"/>
    <w:rsid w:val="007642AE"/>
    <w:rsid w:val="0077039C"/>
    <w:rsid w:val="00772B35"/>
    <w:rsid w:val="007745CC"/>
    <w:rsid w:val="0077497E"/>
    <w:rsid w:val="0078028C"/>
    <w:rsid w:val="0078466F"/>
    <w:rsid w:val="00784DFC"/>
    <w:rsid w:val="0079098C"/>
    <w:rsid w:val="00790EA2"/>
    <w:rsid w:val="00791461"/>
    <w:rsid w:val="00793A24"/>
    <w:rsid w:val="00795843"/>
    <w:rsid w:val="007A1647"/>
    <w:rsid w:val="007A2921"/>
    <w:rsid w:val="007A6AE8"/>
    <w:rsid w:val="007B023D"/>
    <w:rsid w:val="007B0A64"/>
    <w:rsid w:val="007B30B0"/>
    <w:rsid w:val="007B4323"/>
    <w:rsid w:val="007B469B"/>
    <w:rsid w:val="007B52B1"/>
    <w:rsid w:val="007B60BB"/>
    <w:rsid w:val="007C018E"/>
    <w:rsid w:val="007C1068"/>
    <w:rsid w:val="007C4244"/>
    <w:rsid w:val="007C4F13"/>
    <w:rsid w:val="007C54F4"/>
    <w:rsid w:val="007C6CF2"/>
    <w:rsid w:val="007C724A"/>
    <w:rsid w:val="007D077A"/>
    <w:rsid w:val="007D1E71"/>
    <w:rsid w:val="007D2552"/>
    <w:rsid w:val="007E1758"/>
    <w:rsid w:val="007E3122"/>
    <w:rsid w:val="007E61FC"/>
    <w:rsid w:val="007E7A0A"/>
    <w:rsid w:val="007F003B"/>
    <w:rsid w:val="007F255D"/>
    <w:rsid w:val="007F2709"/>
    <w:rsid w:val="007F2D74"/>
    <w:rsid w:val="007F5C48"/>
    <w:rsid w:val="0080224F"/>
    <w:rsid w:val="0080230D"/>
    <w:rsid w:val="00804332"/>
    <w:rsid w:val="00804B20"/>
    <w:rsid w:val="00805C20"/>
    <w:rsid w:val="008064CC"/>
    <w:rsid w:val="0080750F"/>
    <w:rsid w:val="00810B7C"/>
    <w:rsid w:val="00813059"/>
    <w:rsid w:val="00815EAD"/>
    <w:rsid w:val="00815F86"/>
    <w:rsid w:val="008166CB"/>
    <w:rsid w:val="008166EE"/>
    <w:rsid w:val="008176E5"/>
    <w:rsid w:val="00820B5A"/>
    <w:rsid w:val="008214BB"/>
    <w:rsid w:val="008241ED"/>
    <w:rsid w:val="00833A9A"/>
    <w:rsid w:val="008435A6"/>
    <w:rsid w:val="00845140"/>
    <w:rsid w:val="00854265"/>
    <w:rsid w:val="0085501A"/>
    <w:rsid w:val="00857BC7"/>
    <w:rsid w:val="00861BE2"/>
    <w:rsid w:val="00862851"/>
    <w:rsid w:val="00862B2F"/>
    <w:rsid w:val="008667CC"/>
    <w:rsid w:val="008711A4"/>
    <w:rsid w:val="00876994"/>
    <w:rsid w:val="00877408"/>
    <w:rsid w:val="00877F4F"/>
    <w:rsid w:val="008831CC"/>
    <w:rsid w:val="00883D71"/>
    <w:rsid w:val="00886B78"/>
    <w:rsid w:val="00890562"/>
    <w:rsid w:val="00893670"/>
    <w:rsid w:val="00895648"/>
    <w:rsid w:val="00895DB8"/>
    <w:rsid w:val="008A00D8"/>
    <w:rsid w:val="008A18F2"/>
    <w:rsid w:val="008A48DF"/>
    <w:rsid w:val="008A68C5"/>
    <w:rsid w:val="008A7E2F"/>
    <w:rsid w:val="008B13B5"/>
    <w:rsid w:val="008B2730"/>
    <w:rsid w:val="008B4828"/>
    <w:rsid w:val="008B5006"/>
    <w:rsid w:val="008B69C6"/>
    <w:rsid w:val="008C5268"/>
    <w:rsid w:val="008C55AA"/>
    <w:rsid w:val="008D51C0"/>
    <w:rsid w:val="008D6474"/>
    <w:rsid w:val="008D6ABB"/>
    <w:rsid w:val="008D75E1"/>
    <w:rsid w:val="008E029E"/>
    <w:rsid w:val="008E11B5"/>
    <w:rsid w:val="008E6CEC"/>
    <w:rsid w:val="008F0BE4"/>
    <w:rsid w:val="008F69A6"/>
    <w:rsid w:val="008F6C6E"/>
    <w:rsid w:val="008F720F"/>
    <w:rsid w:val="00901E94"/>
    <w:rsid w:val="00904CCF"/>
    <w:rsid w:val="0090567F"/>
    <w:rsid w:val="00905A83"/>
    <w:rsid w:val="0091064E"/>
    <w:rsid w:val="00912B64"/>
    <w:rsid w:val="0092116C"/>
    <w:rsid w:val="009520C3"/>
    <w:rsid w:val="0095315D"/>
    <w:rsid w:val="00953A12"/>
    <w:rsid w:val="00955306"/>
    <w:rsid w:val="00956723"/>
    <w:rsid w:val="00956BDC"/>
    <w:rsid w:val="009570F8"/>
    <w:rsid w:val="00966865"/>
    <w:rsid w:val="00972442"/>
    <w:rsid w:val="0097461F"/>
    <w:rsid w:val="0097577F"/>
    <w:rsid w:val="00976297"/>
    <w:rsid w:val="00981657"/>
    <w:rsid w:val="00981FED"/>
    <w:rsid w:val="00987260"/>
    <w:rsid w:val="00993A42"/>
    <w:rsid w:val="00996BA5"/>
    <w:rsid w:val="009A715C"/>
    <w:rsid w:val="009B2C0A"/>
    <w:rsid w:val="009C0354"/>
    <w:rsid w:val="009C1F80"/>
    <w:rsid w:val="009C2B1C"/>
    <w:rsid w:val="009C6D81"/>
    <w:rsid w:val="009D0953"/>
    <w:rsid w:val="009D2EF6"/>
    <w:rsid w:val="009D6209"/>
    <w:rsid w:val="009E1496"/>
    <w:rsid w:val="009F1F85"/>
    <w:rsid w:val="009F6DE0"/>
    <w:rsid w:val="00A0072C"/>
    <w:rsid w:val="00A06DD6"/>
    <w:rsid w:val="00A0725E"/>
    <w:rsid w:val="00A10E17"/>
    <w:rsid w:val="00A121D1"/>
    <w:rsid w:val="00A13A29"/>
    <w:rsid w:val="00A14F32"/>
    <w:rsid w:val="00A23E14"/>
    <w:rsid w:val="00A26B7D"/>
    <w:rsid w:val="00A30DAE"/>
    <w:rsid w:val="00A31338"/>
    <w:rsid w:val="00A318E6"/>
    <w:rsid w:val="00A35155"/>
    <w:rsid w:val="00A3607B"/>
    <w:rsid w:val="00A40B2B"/>
    <w:rsid w:val="00A426D1"/>
    <w:rsid w:val="00A43144"/>
    <w:rsid w:val="00A446C0"/>
    <w:rsid w:val="00A47C32"/>
    <w:rsid w:val="00A51E5A"/>
    <w:rsid w:val="00A52BDF"/>
    <w:rsid w:val="00A603F0"/>
    <w:rsid w:val="00A612C8"/>
    <w:rsid w:val="00A62CCF"/>
    <w:rsid w:val="00A63BC6"/>
    <w:rsid w:val="00A63BD6"/>
    <w:rsid w:val="00A64493"/>
    <w:rsid w:val="00A65BD1"/>
    <w:rsid w:val="00A70CC7"/>
    <w:rsid w:val="00A73E5B"/>
    <w:rsid w:val="00A75243"/>
    <w:rsid w:val="00A7599C"/>
    <w:rsid w:val="00A76405"/>
    <w:rsid w:val="00A80718"/>
    <w:rsid w:val="00A80CB0"/>
    <w:rsid w:val="00A81BCA"/>
    <w:rsid w:val="00A83ABE"/>
    <w:rsid w:val="00A86E97"/>
    <w:rsid w:val="00A909A7"/>
    <w:rsid w:val="00A92885"/>
    <w:rsid w:val="00A934D4"/>
    <w:rsid w:val="00A93952"/>
    <w:rsid w:val="00AA1B5A"/>
    <w:rsid w:val="00AA23F7"/>
    <w:rsid w:val="00AA3AD1"/>
    <w:rsid w:val="00AA60FE"/>
    <w:rsid w:val="00AA7B60"/>
    <w:rsid w:val="00AB0963"/>
    <w:rsid w:val="00AB5C09"/>
    <w:rsid w:val="00AB79A9"/>
    <w:rsid w:val="00AB7B24"/>
    <w:rsid w:val="00AC170D"/>
    <w:rsid w:val="00AC2ADE"/>
    <w:rsid w:val="00AC6276"/>
    <w:rsid w:val="00AD2CA2"/>
    <w:rsid w:val="00AD59EC"/>
    <w:rsid w:val="00AE00CF"/>
    <w:rsid w:val="00AE06C2"/>
    <w:rsid w:val="00AE0C23"/>
    <w:rsid w:val="00AE0F1C"/>
    <w:rsid w:val="00AE1176"/>
    <w:rsid w:val="00AF43C7"/>
    <w:rsid w:val="00AF4A21"/>
    <w:rsid w:val="00B01564"/>
    <w:rsid w:val="00B050ED"/>
    <w:rsid w:val="00B1049A"/>
    <w:rsid w:val="00B107E1"/>
    <w:rsid w:val="00B121A8"/>
    <w:rsid w:val="00B1457D"/>
    <w:rsid w:val="00B16006"/>
    <w:rsid w:val="00B20B95"/>
    <w:rsid w:val="00B21445"/>
    <w:rsid w:val="00B23588"/>
    <w:rsid w:val="00B2404C"/>
    <w:rsid w:val="00B30900"/>
    <w:rsid w:val="00B3282A"/>
    <w:rsid w:val="00B34184"/>
    <w:rsid w:val="00B36DB5"/>
    <w:rsid w:val="00B45B16"/>
    <w:rsid w:val="00B46DAF"/>
    <w:rsid w:val="00B5005F"/>
    <w:rsid w:val="00B5008F"/>
    <w:rsid w:val="00B529D5"/>
    <w:rsid w:val="00B5389E"/>
    <w:rsid w:val="00B56950"/>
    <w:rsid w:val="00B57290"/>
    <w:rsid w:val="00B57A91"/>
    <w:rsid w:val="00B62042"/>
    <w:rsid w:val="00B625BA"/>
    <w:rsid w:val="00B654B0"/>
    <w:rsid w:val="00B65F79"/>
    <w:rsid w:val="00B6796F"/>
    <w:rsid w:val="00B67BC4"/>
    <w:rsid w:val="00B70717"/>
    <w:rsid w:val="00B73913"/>
    <w:rsid w:val="00B7472F"/>
    <w:rsid w:val="00B74BD8"/>
    <w:rsid w:val="00B75AF5"/>
    <w:rsid w:val="00B804C9"/>
    <w:rsid w:val="00B811A4"/>
    <w:rsid w:val="00B83269"/>
    <w:rsid w:val="00B842C8"/>
    <w:rsid w:val="00B852CB"/>
    <w:rsid w:val="00B85FEA"/>
    <w:rsid w:val="00B87A9D"/>
    <w:rsid w:val="00B90B10"/>
    <w:rsid w:val="00B90F40"/>
    <w:rsid w:val="00B910F4"/>
    <w:rsid w:val="00BA32B6"/>
    <w:rsid w:val="00BA44E6"/>
    <w:rsid w:val="00BA4CEC"/>
    <w:rsid w:val="00BB0EE5"/>
    <w:rsid w:val="00BB3A6A"/>
    <w:rsid w:val="00BB49D8"/>
    <w:rsid w:val="00BB62D9"/>
    <w:rsid w:val="00BC1F68"/>
    <w:rsid w:val="00BC331B"/>
    <w:rsid w:val="00BC34C7"/>
    <w:rsid w:val="00BC4C34"/>
    <w:rsid w:val="00BC5568"/>
    <w:rsid w:val="00BC6BCF"/>
    <w:rsid w:val="00BC709B"/>
    <w:rsid w:val="00BC7BA3"/>
    <w:rsid w:val="00BD006C"/>
    <w:rsid w:val="00BD27BA"/>
    <w:rsid w:val="00BD304F"/>
    <w:rsid w:val="00BD6F14"/>
    <w:rsid w:val="00BE0715"/>
    <w:rsid w:val="00BE5D49"/>
    <w:rsid w:val="00BE74C5"/>
    <w:rsid w:val="00BE7B2F"/>
    <w:rsid w:val="00BE7E9C"/>
    <w:rsid w:val="00BF3E57"/>
    <w:rsid w:val="00C00603"/>
    <w:rsid w:val="00C03E33"/>
    <w:rsid w:val="00C03F15"/>
    <w:rsid w:val="00C03FA4"/>
    <w:rsid w:val="00C0417F"/>
    <w:rsid w:val="00C043B2"/>
    <w:rsid w:val="00C04A9B"/>
    <w:rsid w:val="00C0721C"/>
    <w:rsid w:val="00C10C1F"/>
    <w:rsid w:val="00C11CE7"/>
    <w:rsid w:val="00C12330"/>
    <w:rsid w:val="00C1369E"/>
    <w:rsid w:val="00C14AF8"/>
    <w:rsid w:val="00C200AE"/>
    <w:rsid w:val="00C21E65"/>
    <w:rsid w:val="00C22145"/>
    <w:rsid w:val="00C233C1"/>
    <w:rsid w:val="00C24A48"/>
    <w:rsid w:val="00C24C93"/>
    <w:rsid w:val="00C26276"/>
    <w:rsid w:val="00C27C35"/>
    <w:rsid w:val="00C301C8"/>
    <w:rsid w:val="00C309AF"/>
    <w:rsid w:val="00C3215F"/>
    <w:rsid w:val="00C3707F"/>
    <w:rsid w:val="00C37338"/>
    <w:rsid w:val="00C4220E"/>
    <w:rsid w:val="00C423ED"/>
    <w:rsid w:val="00C42832"/>
    <w:rsid w:val="00C47067"/>
    <w:rsid w:val="00C5000F"/>
    <w:rsid w:val="00C5473E"/>
    <w:rsid w:val="00C55043"/>
    <w:rsid w:val="00C56211"/>
    <w:rsid w:val="00C56539"/>
    <w:rsid w:val="00C70745"/>
    <w:rsid w:val="00C71B27"/>
    <w:rsid w:val="00C740B7"/>
    <w:rsid w:val="00C74191"/>
    <w:rsid w:val="00C81447"/>
    <w:rsid w:val="00C82BFD"/>
    <w:rsid w:val="00C83936"/>
    <w:rsid w:val="00C86C8F"/>
    <w:rsid w:val="00C87C76"/>
    <w:rsid w:val="00C90994"/>
    <w:rsid w:val="00C911C7"/>
    <w:rsid w:val="00C92629"/>
    <w:rsid w:val="00C93B6D"/>
    <w:rsid w:val="00C94A6F"/>
    <w:rsid w:val="00C96C39"/>
    <w:rsid w:val="00CA1B8B"/>
    <w:rsid w:val="00CA258B"/>
    <w:rsid w:val="00CA2960"/>
    <w:rsid w:val="00CA32B1"/>
    <w:rsid w:val="00CA3E01"/>
    <w:rsid w:val="00CA6949"/>
    <w:rsid w:val="00CB0E07"/>
    <w:rsid w:val="00CB5D29"/>
    <w:rsid w:val="00CB626B"/>
    <w:rsid w:val="00CB6D01"/>
    <w:rsid w:val="00CB7453"/>
    <w:rsid w:val="00CC638D"/>
    <w:rsid w:val="00CC6CAA"/>
    <w:rsid w:val="00CC71ED"/>
    <w:rsid w:val="00CC7F1F"/>
    <w:rsid w:val="00CD2EB1"/>
    <w:rsid w:val="00CD576D"/>
    <w:rsid w:val="00CD5F7C"/>
    <w:rsid w:val="00CD66C9"/>
    <w:rsid w:val="00CD69EB"/>
    <w:rsid w:val="00CE05D3"/>
    <w:rsid w:val="00CE383F"/>
    <w:rsid w:val="00CE74EE"/>
    <w:rsid w:val="00CF1B06"/>
    <w:rsid w:val="00CF234A"/>
    <w:rsid w:val="00CF5254"/>
    <w:rsid w:val="00CF6A71"/>
    <w:rsid w:val="00CF6F6A"/>
    <w:rsid w:val="00CF7DA8"/>
    <w:rsid w:val="00D007B3"/>
    <w:rsid w:val="00D02D35"/>
    <w:rsid w:val="00D04F6B"/>
    <w:rsid w:val="00D051C9"/>
    <w:rsid w:val="00D11EA2"/>
    <w:rsid w:val="00D14104"/>
    <w:rsid w:val="00D141D8"/>
    <w:rsid w:val="00D15439"/>
    <w:rsid w:val="00D15902"/>
    <w:rsid w:val="00D16038"/>
    <w:rsid w:val="00D20616"/>
    <w:rsid w:val="00D2297C"/>
    <w:rsid w:val="00D2467E"/>
    <w:rsid w:val="00D24AF2"/>
    <w:rsid w:val="00D250D7"/>
    <w:rsid w:val="00D314B5"/>
    <w:rsid w:val="00D326AB"/>
    <w:rsid w:val="00D413F0"/>
    <w:rsid w:val="00D4406C"/>
    <w:rsid w:val="00D515A6"/>
    <w:rsid w:val="00D532BC"/>
    <w:rsid w:val="00D5347A"/>
    <w:rsid w:val="00D5375A"/>
    <w:rsid w:val="00D55F6C"/>
    <w:rsid w:val="00D61B1C"/>
    <w:rsid w:val="00D75371"/>
    <w:rsid w:val="00D76CA6"/>
    <w:rsid w:val="00D82C43"/>
    <w:rsid w:val="00D82E70"/>
    <w:rsid w:val="00D84852"/>
    <w:rsid w:val="00D868CC"/>
    <w:rsid w:val="00D87CDB"/>
    <w:rsid w:val="00D92FF8"/>
    <w:rsid w:val="00DA0587"/>
    <w:rsid w:val="00DA1CA7"/>
    <w:rsid w:val="00DA4E1F"/>
    <w:rsid w:val="00DA64CA"/>
    <w:rsid w:val="00DA76FC"/>
    <w:rsid w:val="00DB02FA"/>
    <w:rsid w:val="00DB5B0A"/>
    <w:rsid w:val="00DC1082"/>
    <w:rsid w:val="00DC5804"/>
    <w:rsid w:val="00DD0423"/>
    <w:rsid w:val="00DD1350"/>
    <w:rsid w:val="00DD1524"/>
    <w:rsid w:val="00DD4754"/>
    <w:rsid w:val="00DD7BE5"/>
    <w:rsid w:val="00DE1B06"/>
    <w:rsid w:val="00DF036B"/>
    <w:rsid w:val="00DF3467"/>
    <w:rsid w:val="00DF4E32"/>
    <w:rsid w:val="00DF6E12"/>
    <w:rsid w:val="00E057E9"/>
    <w:rsid w:val="00E06A68"/>
    <w:rsid w:val="00E15FDD"/>
    <w:rsid w:val="00E259C9"/>
    <w:rsid w:val="00E25CD7"/>
    <w:rsid w:val="00E260A0"/>
    <w:rsid w:val="00E2702B"/>
    <w:rsid w:val="00E30FAF"/>
    <w:rsid w:val="00E31C1E"/>
    <w:rsid w:val="00E345F4"/>
    <w:rsid w:val="00E36798"/>
    <w:rsid w:val="00E42F37"/>
    <w:rsid w:val="00E4415E"/>
    <w:rsid w:val="00E46DEE"/>
    <w:rsid w:val="00E47A48"/>
    <w:rsid w:val="00E51737"/>
    <w:rsid w:val="00E53DA2"/>
    <w:rsid w:val="00E53F5E"/>
    <w:rsid w:val="00E542E6"/>
    <w:rsid w:val="00E5437D"/>
    <w:rsid w:val="00E54437"/>
    <w:rsid w:val="00E546FD"/>
    <w:rsid w:val="00E55667"/>
    <w:rsid w:val="00E560C7"/>
    <w:rsid w:val="00E56663"/>
    <w:rsid w:val="00E57D55"/>
    <w:rsid w:val="00E57E6C"/>
    <w:rsid w:val="00E60BE4"/>
    <w:rsid w:val="00E70D02"/>
    <w:rsid w:val="00E71B18"/>
    <w:rsid w:val="00E73723"/>
    <w:rsid w:val="00E75D56"/>
    <w:rsid w:val="00E8449E"/>
    <w:rsid w:val="00E8530F"/>
    <w:rsid w:val="00E903BE"/>
    <w:rsid w:val="00E91A36"/>
    <w:rsid w:val="00E97A84"/>
    <w:rsid w:val="00EA076E"/>
    <w:rsid w:val="00EA563C"/>
    <w:rsid w:val="00EA6A60"/>
    <w:rsid w:val="00EA6C7C"/>
    <w:rsid w:val="00EB2168"/>
    <w:rsid w:val="00EB243D"/>
    <w:rsid w:val="00EB2589"/>
    <w:rsid w:val="00EB279E"/>
    <w:rsid w:val="00EB4893"/>
    <w:rsid w:val="00EB524E"/>
    <w:rsid w:val="00EB69B8"/>
    <w:rsid w:val="00EB6E01"/>
    <w:rsid w:val="00EB7BD8"/>
    <w:rsid w:val="00EC0CAC"/>
    <w:rsid w:val="00EC27F9"/>
    <w:rsid w:val="00EC6337"/>
    <w:rsid w:val="00EC7E1E"/>
    <w:rsid w:val="00ED1954"/>
    <w:rsid w:val="00ED4904"/>
    <w:rsid w:val="00ED6865"/>
    <w:rsid w:val="00ED7E6E"/>
    <w:rsid w:val="00EE2FFE"/>
    <w:rsid w:val="00EE623B"/>
    <w:rsid w:val="00EF37FB"/>
    <w:rsid w:val="00EF4452"/>
    <w:rsid w:val="00F02977"/>
    <w:rsid w:val="00F04165"/>
    <w:rsid w:val="00F06F7A"/>
    <w:rsid w:val="00F11A54"/>
    <w:rsid w:val="00F1474A"/>
    <w:rsid w:val="00F15B56"/>
    <w:rsid w:val="00F17078"/>
    <w:rsid w:val="00F2100F"/>
    <w:rsid w:val="00F21CE6"/>
    <w:rsid w:val="00F22790"/>
    <w:rsid w:val="00F247DC"/>
    <w:rsid w:val="00F269D2"/>
    <w:rsid w:val="00F27E57"/>
    <w:rsid w:val="00F331C9"/>
    <w:rsid w:val="00F3683F"/>
    <w:rsid w:val="00F40EDF"/>
    <w:rsid w:val="00F410EC"/>
    <w:rsid w:val="00F41F1D"/>
    <w:rsid w:val="00F50251"/>
    <w:rsid w:val="00F530B8"/>
    <w:rsid w:val="00F5552B"/>
    <w:rsid w:val="00F5630B"/>
    <w:rsid w:val="00F622BF"/>
    <w:rsid w:val="00F64598"/>
    <w:rsid w:val="00F65655"/>
    <w:rsid w:val="00F658A9"/>
    <w:rsid w:val="00F66FB4"/>
    <w:rsid w:val="00F70D52"/>
    <w:rsid w:val="00F7226B"/>
    <w:rsid w:val="00F837CB"/>
    <w:rsid w:val="00F83C18"/>
    <w:rsid w:val="00F845E7"/>
    <w:rsid w:val="00F8532B"/>
    <w:rsid w:val="00F91717"/>
    <w:rsid w:val="00F94178"/>
    <w:rsid w:val="00F944C9"/>
    <w:rsid w:val="00F95614"/>
    <w:rsid w:val="00FA0743"/>
    <w:rsid w:val="00FA3D29"/>
    <w:rsid w:val="00FA5A60"/>
    <w:rsid w:val="00FA619B"/>
    <w:rsid w:val="00FB50DB"/>
    <w:rsid w:val="00FB56CC"/>
    <w:rsid w:val="00FB614E"/>
    <w:rsid w:val="00FB653E"/>
    <w:rsid w:val="00FC1D46"/>
    <w:rsid w:val="00FC3447"/>
    <w:rsid w:val="00FC3C04"/>
    <w:rsid w:val="00FD5E51"/>
    <w:rsid w:val="00FE103F"/>
    <w:rsid w:val="00FE1948"/>
    <w:rsid w:val="00FE1F98"/>
    <w:rsid w:val="00FE2B49"/>
    <w:rsid w:val="00FE3F53"/>
    <w:rsid w:val="00FE4500"/>
    <w:rsid w:val="00FE5A6D"/>
    <w:rsid w:val="00FE6343"/>
    <w:rsid w:val="00FF31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2574"/>
  <w15:docId w15:val="{75CC530B-8D69-4CAE-AE9B-62FB602F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93"/>
    <w:pPr>
      <w:ind w:left="720"/>
      <w:contextualSpacing/>
    </w:pPr>
  </w:style>
  <w:style w:type="table" w:styleId="TableGrid">
    <w:name w:val="Table Grid"/>
    <w:basedOn w:val="TableNormal"/>
    <w:uiPriority w:val="59"/>
    <w:rsid w:val="008F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99"/>
    <w:locked/>
    <w:rsid w:val="006D27CD"/>
    <w:rPr>
      <w:rFonts w:ascii="Calibri" w:eastAsia="Calibri" w:hAnsi="Calibri" w:cs="Times New Roman"/>
      <w:lang w:val="en-US"/>
    </w:rPr>
  </w:style>
  <w:style w:type="paragraph" w:styleId="NoSpacing">
    <w:name w:val="No Spacing"/>
    <w:link w:val="NoSpacingChar"/>
    <w:uiPriority w:val="99"/>
    <w:qFormat/>
    <w:rsid w:val="006D27CD"/>
    <w:pPr>
      <w:spacing w:after="0" w:line="240" w:lineRule="auto"/>
      <w:ind w:left="432" w:hanging="432"/>
      <w:jc w:val="both"/>
    </w:pPr>
    <w:rPr>
      <w:rFonts w:ascii="Calibri" w:eastAsia="Calibri" w:hAnsi="Calibri" w:cs="Times New Roman"/>
      <w:lang w:val="en-US"/>
    </w:rPr>
  </w:style>
  <w:style w:type="character" w:customStyle="1" w:styleId="normalchar">
    <w:name w:val="normal__char"/>
    <w:basedOn w:val="DefaultParagraphFont"/>
    <w:rsid w:val="005B133D"/>
  </w:style>
  <w:style w:type="paragraph" w:customStyle="1" w:styleId="Normal5">
    <w:name w:val="Normal5"/>
    <w:basedOn w:val="Normal"/>
    <w:rsid w:val="005B13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5B133D"/>
    <w:rPr>
      <w:b/>
      <w:bCs/>
    </w:rPr>
  </w:style>
  <w:style w:type="paragraph" w:styleId="BalloonText">
    <w:name w:val="Balloon Text"/>
    <w:basedOn w:val="Normal"/>
    <w:link w:val="BalloonTextChar"/>
    <w:uiPriority w:val="99"/>
    <w:semiHidden/>
    <w:unhideWhenUsed/>
    <w:rsid w:val="0036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ED"/>
    <w:rPr>
      <w:rFonts w:ascii="Tahoma" w:hAnsi="Tahoma" w:cs="Tahoma"/>
      <w:sz w:val="16"/>
      <w:szCs w:val="16"/>
      <w:lang w:val="en-US"/>
    </w:rPr>
  </w:style>
  <w:style w:type="paragraph" w:customStyle="1" w:styleId="Normal1">
    <w:name w:val="Normal1"/>
    <w:basedOn w:val="Normal"/>
    <w:rsid w:val="002610A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TMLPreformatted">
    <w:name w:val="HTML Preformatted"/>
    <w:basedOn w:val="Normal"/>
    <w:link w:val="HTMLPreformattedChar"/>
    <w:uiPriority w:val="99"/>
    <w:semiHidden/>
    <w:unhideWhenUsed/>
    <w:rsid w:val="0026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0AC"/>
    <w:rPr>
      <w:rFonts w:ascii="Courier New" w:eastAsia="Times New Roman" w:hAnsi="Courier New" w:cs="Courier New"/>
      <w:sz w:val="20"/>
      <w:szCs w:val="20"/>
      <w:lang w:eastAsia="en-IN"/>
    </w:rPr>
  </w:style>
  <w:style w:type="character" w:styleId="Hyperlink">
    <w:name w:val="Hyperlink"/>
    <w:basedOn w:val="DefaultParagraphFont"/>
    <w:uiPriority w:val="99"/>
    <w:unhideWhenUsed/>
    <w:rsid w:val="002F101C"/>
    <w:rPr>
      <w:color w:val="0000FF" w:themeColor="hyperlink"/>
      <w:u w:val="single"/>
    </w:rPr>
  </w:style>
  <w:style w:type="character" w:customStyle="1" w:styleId="object">
    <w:name w:val="object"/>
    <w:basedOn w:val="DefaultParagraphFont"/>
    <w:rsid w:val="00CA2960"/>
  </w:style>
  <w:style w:type="paragraph" w:styleId="Header">
    <w:name w:val="header"/>
    <w:basedOn w:val="Normal"/>
    <w:link w:val="HeaderChar"/>
    <w:uiPriority w:val="99"/>
    <w:unhideWhenUsed/>
    <w:rsid w:val="003D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68D"/>
  </w:style>
  <w:style w:type="paragraph" w:styleId="Footer">
    <w:name w:val="footer"/>
    <w:basedOn w:val="Normal"/>
    <w:link w:val="FooterChar"/>
    <w:uiPriority w:val="99"/>
    <w:unhideWhenUsed/>
    <w:rsid w:val="003D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68D"/>
  </w:style>
  <w:style w:type="paragraph" w:styleId="PlainText">
    <w:name w:val="Plain Text"/>
    <w:basedOn w:val="Normal"/>
    <w:link w:val="PlainTextChar"/>
    <w:uiPriority w:val="99"/>
    <w:rsid w:val="00247073"/>
    <w:pPr>
      <w:autoSpaceDE w:val="0"/>
      <w:autoSpaceDN w:val="0"/>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uiPriority w:val="99"/>
    <w:rsid w:val="00247073"/>
    <w:rPr>
      <w:rFonts w:ascii="Courier New" w:eastAsia="Times New Roman" w:hAnsi="Courier New" w:cs="Courier New"/>
      <w:sz w:val="20"/>
      <w:szCs w:val="20"/>
      <w:lang w:val="en-US" w:eastAsia="en-US"/>
    </w:rPr>
  </w:style>
  <w:style w:type="paragraph" w:styleId="FootnoteText">
    <w:name w:val="footnote text"/>
    <w:basedOn w:val="Normal"/>
    <w:link w:val="FootnoteTextChar"/>
    <w:rsid w:val="00A81BCA"/>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A81BCA"/>
    <w:rPr>
      <w:rFonts w:ascii="Times New Roman" w:eastAsia="Times New Roman" w:hAnsi="Times New Roman" w:cs="Times New Roman"/>
      <w:sz w:val="20"/>
      <w:szCs w:val="20"/>
      <w:lang w:val="en-GB" w:eastAsia="en-US"/>
    </w:rPr>
  </w:style>
  <w:style w:type="character" w:styleId="FootnoteReference">
    <w:name w:val="footnote reference"/>
    <w:basedOn w:val="DefaultParagraphFont"/>
    <w:rsid w:val="00A81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002">
      <w:bodyDiv w:val="1"/>
      <w:marLeft w:val="0"/>
      <w:marRight w:val="0"/>
      <w:marTop w:val="0"/>
      <w:marBottom w:val="0"/>
      <w:divBdr>
        <w:top w:val="none" w:sz="0" w:space="0" w:color="auto"/>
        <w:left w:val="none" w:sz="0" w:space="0" w:color="auto"/>
        <w:bottom w:val="none" w:sz="0" w:space="0" w:color="auto"/>
        <w:right w:val="none" w:sz="0" w:space="0" w:color="auto"/>
      </w:divBdr>
    </w:div>
    <w:div w:id="211619702">
      <w:bodyDiv w:val="1"/>
      <w:marLeft w:val="0"/>
      <w:marRight w:val="0"/>
      <w:marTop w:val="0"/>
      <w:marBottom w:val="0"/>
      <w:divBdr>
        <w:top w:val="none" w:sz="0" w:space="0" w:color="auto"/>
        <w:left w:val="none" w:sz="0" w:space="0" w:color="auto"/>
        <w:bottom w:val="none" w:sz="0" w:space="0" w:color="auto"/>
        <w:right w:val="none" w:sz="0" w:space="0" w:color="auto"/>
      </w:divBdr>
    </w:div>
    <w:div w:id="376465597">
      <w:bodyDiv w:val="1"/>
      <w:marLeft w:val="0"/>
      <w:marRight w:val="0"/>
      <w:marTop w:val="0"/>
      <w:marBottom w:val="0"/>
      <w:divBdr>
        <w:top w:val="none" w:sz="0" w:space="0" w:color="auto"/>
        <w:left w:val="none" w:sz="0" w:space="0" w:color="auto"/>
        <w:bottom w:val="none" w:sz="0" w:space="0" w:color="auto"/>
        <w:right w:val="none" w:sz="0" w:space="0" w:color="auto"/>
      </w:divBdr>
    </w:div>
    <w:div w:id="407656834">
      <w:bodyDiv w:val="1"/>
      <w:marLeft w:val="0"/>
      <w:marRight w:val="0"/>
      <w:marTop w:val="0"/>
      <w:marBottom w:val="0"/>
      <w:divBdr>
        <w:top w:val="none" w:sz="0" w:space="0" w:color="auto"/>
        <w:left w:val="none" w:sz="0" w:space="0" w:color="auto"/>
        <w:bottom w:val="none" w:sz="0" w:space="0" w:color="auto"/>
        <w:right w:val="none" w:sz="0" w:space="0" w:color="auto"/>
      </w:divBdr>
    </w:div>
    <w:div w:id="442190238">
      <w:bodyDiv w:val="1"/>
      <w:marLeft w:val="0"/>
      <w:marRight w:val="0"/>
      <w:marTop w:val="0"/>
      <w:marBottom w:val="0"/>
      <w:divBdr>
        <w:top w:val="none" w:sz="0" w:space="0" w:color="auto"/>
        <w:left w:val="none" w:sz="0" w:space="0" w:color="auto"/>
        <w:bottom w:val="none" w:sz="0" w:space="0" w:color="auto"/>
        <w:right w:val="none" w:sz="0" w:space="0" w:color="auto"/>
      </w:divBdr>
    </w:div>
    <w:div w:id="555628824">
      <w:bodyDiv w:val="1"/>
      <w:marLeft w:val="0"/>
      <w:marRight w:val="0"/>
      <w:marTop w:val="0"/>
      <w:marBottom w:val="0"/>
      <w:divBdr>
        <w:top w:val="none" w:sz="0" w:space="0" w:color="auto"/>
        <w:left w:val="none" w:sz="0" w:space="0" w:color="auto"/>
        <w:bottom w:val="none" w:sz="0" w:space="0" w:color="auto"/>
        <w:right w:val="none" w:sz="0" w:space="0" w:color="auto"/>
      </w:divBdr>
    </w:div>
    <w:div w:id="571426812">
      <w:bodyDiv w:val="1"/>
      <w:marLeft w:val="0"/>
      <w:marRight w:val="0"/>
      <w:marTop w:val="0"/>
      <w:marBottom w:val="0"/>
      <w:divBdr>
        <w:top w:val="none" w:sz="0" w:space="0" w:color="auto"/>
        <w:left w:val="none" w:sz="0" w:space="0" w:color="auto"/>
        <w:bottom w:val="none" w:sz="0" w:space="0" w:color="auto"/>
        <w:right w:val="none" w:sz="0" w:space="0" w:color="auto"/>
      </w:divBdr>
    </w:div>
    <w:div w:id="773212816">
      <w:bodyDiv w:val="1"/>
      <w:marLeft w:val="0"/>
      <w:marRight w:val="0"/>
      <w:marTop w:val="0"/>
      <w:marBottom w:val="0"/>
      <w:divBdr>
        <w:top w:val="none" w:sz="0" w:space="0" w:color="auto"/>
        <w:left w:val="none" w:sz="0" w:space="0" w:color="auto"/>
        <w:bottom w:val="none" w:sz="0" w:space="0" w:color="auto"/>
        <w:right w:val="none" w:sz="0" w:space="0" w:color="auto"/>
      </w:divBdr>
    </w:div>
    <w:div w:id="835221060">
      <w:bodyDiv w:val="1"/>
      <w:marLeft w:val="0"/>
      <w:marRight w:val="0"/>
      <w:marTop w:val="0"/>
      <w:marBottom w:val="0"/>
      <w:divBdr>
        <w:top w:val="none" w:sz="0" w:space="0" w:color="auto"/>
        <w:left w:val="none" w:sz="0" w:space="0" w:color="auto"/>
        <w:bottom w:val="none" w:sz="0" w:space="0" w:color="auto"/>
        <w:right w:val="none" w:sz="0" w:space="0" w:color="auto"/>
      </w:divBdr>
    </w:div>
    <w:div w:id="883718911">
      <w:bodyDiv w:val="1"/>
      <w:marLeft w:val="0"/>
      <w:marRight w:val="0"/>
      <w:marTop w:val="0"/>
      <w:marBottom w:val="0"/>
      <w:divBdr>
        <w:top w:val="none" w:sz="0" w:space="0" w:color="auto"/>
        <w:left w:val="none" w:sz="0" w:space="0" w:color="auto"/>
        <w:bottom w:val="none" w:sz="0" w:space="0" w:color="auto"/>
        <w:right w:val="none" w:sz="0" w:space="0" w:color="auto"/>
      </w:divBdr>
    </w:div>
    <w:div w:id="1182740467">
      <w:bodyDiv w:val="1"/>
      <w:marLeft w:val="0"/>
      <w:marRight w:val="0"/>
      <w:marTop w:val="0"/>
      <w:marBottom w:val="0"/>
      <w:divBdr>
        <w:top w:val="none" w:sz="0" w:space="0" w:color="auto"/>
        <w:left w:val="none" w:sz="0" w:space="0" w:color="auto"/>
        <w:bottom w:val="none" w:sz="0" w:space="0" w:color="auto"/>
        <w:right w:val="none" w:sz="0" w:space="0" w:color="auto"/>
      </w:divBdr>
    </w:div>
    <w:div w:id="1262756948">
      <w:bodyDiv w:val="1"/>
      <w:marLeft w:val="0"/>
      <w:marRight w:val="0"/>
      <w:marTop w:val="0"/>
      <w:marBottom w:val="0"/>
      <w:divBdr>
        <w:top w:val="none" w:sz="0" w:space="0" w:color="auto"/>
        <w:left w:val="none" w:sz="0" w:space="0" w:color="auto"/>
        <w:bottom w:val="none" w:sz="0" w:space="0" w:color="auto"/>
        <w:right w:val="none" w:sz="0" w:space="0" w:color="auto"/>
      </w:divBdr>
    </w:div>
    <w:div w:id="1273244311">
      <w:bodyDiv w:val="1"/>
      <w:marLeft w:val="0"/>
      <w:marRight w:val="0"/>
      <w:marTop w:val="0"/>
      <w:marBottom w:val="0"/>
      <w:divBdr>
        <w:top w:val="none" w:sz="0" w:space="0" w:color="auto"/>
        <w:left w:val="none" w:sz="0" w:space="0" w:color="auto"/>
        <w:bottom w:val="none" w:sz="0" w:space="0" w:color="auto"/>
        <w:right w:val="none" w:sz="0" w:space="0" w:color="auto"/>
      </w:divBdr>
    </w:div>
    <w:div w:id="1438674572">
      <w:bodyDiv w:val="1"/>
      <w:marLeft w:val="0"/>
      <w:marRight w:val="0"/>
      <w:marTop w:val="0"/>
      <w:marBottom w:val="0"/>
      <w:divBdr>
        <w:top w:val="none" w:sz="0" w:space="0" w:color="auto"/>
        <w:left w:val="none" w:sz="0" w:space="0" w:color="auto"/>
        <w:bottom w:val="none" w:sz="0" w:space="0" w:color="auto"/>
        <w:right w:val="none" w:sz="0" w:space="0" w:color="auto"/>
      </w:divBdr>
    </w:div>
    <w:div w:id="1463766078">
      <w:bodyDiv w:val="1"/>
      <w:marLeft w:val="0"/>
      <w:marRight w:val="0"/>
      <w:marTop w:val="0"/>
      <w:marBottom w:val="0"/>
      <w:divBdr>
        <w:top w:val="none" w:sz="0" w:space="0" w:color="auto"/>
        <w:left w:val="none" w:sz="0" w:space="0" w:color="auto"/>
        <w:bottom w:val="none" w:sz="0" w:space="0" w:color="auto"/>
        <w:right w:val="none" w:sz="0" w:space="0" w:color="auto"/>
      </w:divBdr>
    </w:div>
    <w:div w:id="1905332463">
      <w:bodyDiv w:val="1"/>
      <w:marLeft w:val="0"/>
      <w:marRight w:val="0"/>
      <w:marTop w:val="0"/>
      <w:marBottom w:val="0"/>
      <w:divBdr>
        <w:top w:val="none" w:sz="0" w:space="0" w:color="auto"/>
        <w:left w:val="none" w:sz="0" w:space="0" w:color="auto"/>
        <w:bottom w:val="none" w:sz="0" w:space="0" w:color="auto"/>
        <w:right w:val="none" w:sz="0" w:space="0" w:color="auto"/>
      </w:divBdr>
    </w:div>
    <w:div w:id="21173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BE57-6CC4-481C-A609-737B461B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bhaskar</dc:creator>
  <cp:lastModifiedBy>Ramesh</cp:lastModifiedBy>
  <cp:revision>5</cp:revision>
  <cp:lastPrinted>2021-11-09T10:16:00Z</cp:lastPrinted>
  <dcterms:created xsi:type="dcterms:W3CDTF">2022-01-28T05:16:00Z</dcterms:created>
  <dcterms:modified xsi:type="dcterms:W3CDTF">2022-01-28T05:24:00Z</dcterms:modified>
</cp:coreProperties>
</file>